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9944" w14:textId="604C0DB4" w:rsidR="002D1BCC" w:rsidRPr="006F44AE" w:rsidRDefault="001D3CFB" w:rsidP="00AD61FA">
      <w:pPr>
        <w:pStyle w:val="Default"/>
        <w:jc w:val="center"/>
        <w:rPr>
          <w:rFonts w:ascii="Arial" w:hAnsi="Arial" w:cs="Arial"/>
          <w:b/>
          <w:bCs/>
          <w:sz w:val="28"/>
          <w:szCs w:val="28"/>
          <w:u w:val="single"/>
        </w:rPr>
      </w:pPr>
      <w:r w:rsidRPr="006F44AE">
        <w:rPr>
          <w:rFonts w:ascii="Arial" w:hAnsi="Arial" w:cs="Arial"/>
          <w:b/>
          <w:bCs/>
          <w:sz w:val="28"/>
          <w:szCs w:val="28"/>
          <w:u w:val="single"/>
        </w:rPr>
        <w:t xml:space="preserve">ILPA and the Law Society: </w:t>
      </w:r>
      <w:r w:rsidR="00AD61FA" w:rsidRPr="006F44AE">
        <w:rPr>
          <w:rFonts w:ascii="Arial" w:hAnsi="Arial" w:cs="Arial"/>
          <w:b/>
          <w:bCs/>
          <w:sz w:val="28"/>
          <w:szCs w:val="28"/>
          <w:u w:val="single"/>
        </w:rPr>
        <w:t xml:space="preserve">COVID-19 </w:t>
      </w:r>
      <w:r w:rsidRPr="006F44AE">
        <w:rPr>
          <w:rFonts w:ascii="Arial" w:hAnsi="Arial" w:cs="Arial"/>
          <w:b/>
          <w:bCs/>
          <w:sz w:val="28"/>
          <w:szCs w:val="28"/>
          <w:u w:val="single"/>
        </w:rPr>
        <w:t>issues and recommendations</w:t>
      </w:r>
    </w:p>
    <w:p w14:paraId="427A9B7F" w14:textId="420164D3" w:rsidR="00C550F1" w:rsidRPr="006F44AE" w:rsidRDefault="00C550F1"/>
    <w:p w14:paraId="74AC3026" w14:textId="77777777" w:rsidR="00C550F1" w:rsidRPr="006F44AE" w:rsidRDefault="00C550F1"/>
    <w:tbl>
      <w:tblPr>
        <w:tblStyle w:val="a"/>
        <w:tblW w:w="13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19"/>
        <w:gridCol w:w="7938"/>
      </w:tblGrid>
      <w:tr w:rsidR="00C550F1" w:rsidRPr="006F44AE" w14:paraId="1596EE20" w14:textId="77777777" w:rsidTr="00940543">
        <w:tc>
          <w:tcPr>
            <w:tcW w:w="5519" w:type="dxa"/>
            <w:shd w:val="clear" w:color="auto" w:fill="auto"/>
            <w:tcMar>
              <w:top w:w="100" w:type="dxa"/>
              <w:left w:w="100" w:type="dxa"/>
              <w:bottom w:w="100" w:type="dxa"/>
              <w:right w:w="100" w:type="dxa"/>
            </w:tcMar>
          </w:tcPr>
          <w:p w14:paraId="0CC019EB" w14:textId="77777777" w:rsidR="00C550F1" w:rsidRPr="006F44AE" w:rsidRDefault="00D846E4" w:rsidP="002D1BCC">
            <w:pPr>
              <w:widowControl w:val="0"/>
              <w:spacing w:line="240" w:lineRule="auto"/>
              <w:rPr>
                <w:b/>
              </w:rPr>
            </w:pPr>
            <w:r w:rsidRPr="006F44AE">
              <w:rPr>
                <w:b/>
              </w:rPr>
              <w:t>Issue</w:t>
            </w:r>
            <w:r w:rsidR="002D1BCC" w:rsidRPr="006F44AE">
              <w:rPr>
                <w:b/>
              </w:rPr>
              <w:t>s and recommendations</w:t>
            </w:r>
          </w:p>
        </w:tc>
        <w:tc>
          <w:tcPr>
            <w:tcW w:w="7938" w:type="dxa"/>
            <w:shd w:val="clear" w:color="auto" w:fill="auto"/>
            <w:tcMar>
              <w:top w:w="100" w:type="dxa"/>
              <w:left w:w="100" w:type="dxa"/>
              <w:bottom w:w="100" w:type="dxa"/>
              <w:right w:w="100" w:type="dxa"/>
            </w:tcMar>
          </w:tcPr>
          <w:p w14:paraId="40AF0671" w14:textId="2595C2E2" w:rsidR="00C550F1" w:rsidRPr="006F44AE" w:rsidRDefault="00794B03" w:rsidP="002D1BCC">
            <w:pPr>
              <w:widowControl w:val="0"/>
              <w:spacing w:line="240" w:lineRule="auto"/>
              <w:rPr>
                <w:b/>
              </w:rPr>
            </w:pPr>
            <w:r w:rsidRPr="006F44AE">
              <w:rPr>
                <w:b/>
              </w:rPr>
              <w:t>Answers</w:t>
            </w:r>
          </w:p>
        </w:tc>
      </w:tr>
      <w:tr w:rsidR="00C550F1" w:rsidRPr="006F44AE" w14:paraId="364B2B02" w14:textId="77777777" w:rsidTr="00940543">
        <w:tc>
          <w:tcPr>
            <w:tcW w:w="5519" w:type="dxa"/>
            <w:shd w:val="clear" w:color="auto" w:fill="auto"/>
            <w:tcMar>
              <w:top w:w="100" w:type="dxa"/>
              <w:left w:w="100" w:type="dxa"/>
              <w:bottom w:w="100" w:type="dxa"/>
              <w:right w:w="100" w:type="dxa"/>
            </w:tcMar>
          </w:tcPr>
          <w:p w14:paraId="633EAC5D" w14:textId="77777777" w:rsidR="003A3F94" w:rsidRPr="006F44AE" w:rsidRDefault="003A3F94" w:rsidP="00DF4AC8">
            <w:pPr>
              <w:widowControl w:val="0"/>
              <w:numPr>
                <w:ilvl w:val="0"/>
                <w:numId w:val="2"/>
              </w:numPr>
              <w:spacing w:line="240" w:lineRule="auto"/>
              <w:jc w:val="both"/>
              <w:rPr>
                <w:b/>
              </w:rPr>
            </w:pPr>
            <w:r w:rsidRPr="006F44AE">
              <w:rPr>
                <w:b/>
              </w:rPr>
              <w:t>Individuals marrying in the UK (</w:t>
            </w:r>
            <w:r w:rsidRPr="006F44AE">
              <w:rPr>
                <w:b/>
                <w:i/>
              </w:rPr>
              <w:t>issue 3 in ILPA and the Law Society’s table</w:t>
            </w:r>
            <w:r w:rsidRPr="006F44AE">
              <w:rPr>
                <w:b/>
              </w:rPr>
              <w:t>).</w:t>
            </w:r>
            <w:r w:rsidRPr="006F44AE">
              <w:rPr>
                <w:b/>
                <w:vertAlign w:val="superscript"/>
              </w:rPr>
              <w:footnoteReference w:id="1"/>
            </w:r>
          </w:p>
          <w:p w14:paraId="76675E33" w14:textId="77777777" w:rsidR="003A3F94" w:rsidRPr="006F44AE" w:rsidRDefault="003A3F94" w:rsidP="00DF4AC8">
            <w:pPr>
              <w:widowControl w:val="0"/>
              <w:spacing w:line="240" w:lineRule="auto"/>
              <w:ind w:left="720"/>
              <w:jc w:val="both"/>
            </w:pPr>
          </w:p>
          <w:p w14:paraId="7695B260" w14:textId="5CAD56C5" w:rsidR="003A3F94" w:rsidRPr="006F44AE" w:rsidRDefault="003A3F94" w:rsidP="00DF4AC8">
            <w:pPr>
              <w:widowControl w:val="0"/>
              <w:spacing w:line="240" w:lineRule="auto"/>
              <w:ind w:left="360"/>
              <w:jc w:val="both"/>
            </w:pPr>
            <w:r w:rsidRPr="006F44AE">
              <w:t xml:space="preserve">There are now multiple examples of caseworkers making repeat requests for marriage certificates where </w:t>
            </w:r>
            <w:r w:rsidR="00030049" w:rsidRPr="006F44AE">
              <w:t>representatives</w:t>
            </w:r>
            <w:r w:rsidRPr="006F44AE">
              <w:t xml:space="preserve"> have advised that applicants cannot marry due to </w:t>
            </w:r>
            <w:proofErr w:type="spellStart"/>
            <w:r w:rsidRPr="006F44AE">
              <w:t>Covid</w:t>
            </w:r>
            <w:proofErr w:type="spellEnd"/>
            <w:r w:rsidRPr="006F44AE">
              <w:t xml:space="preserve">. It could take years to clear the backlog </w:t>
            </w:r>
            <w:r w:rsidR="00F52336" w:rsidRPr="006F44AE">
              <w:t>during</w:t>
            </w:r>
            <w:r w:rsidRPr="006F44AE">
              <w:t xml:space="preserve"> which applicants cannot work etc. </w:t>
            </w:r>
          </w:p>
          <w:p w14:paraId="67E903C9" w14:textId="77777777" w:rsidR="00C550F1" w:rsidRPr="006F44AE" w:rsidRDefault="00C550F1" w:rsidP="00DF4AC8">
            <w:pPr>
              <w:widowControl w:val="0"/>
              <w:spacing w:line="240" w:lineRule="auto"/>
              <w:jc w:val="both"/>
            </w:pPr>
          </w:p>
        </w:tc>
        <w:tc>
          <w:tcPr>
            <w:tcW w:w="7938" w:type="dxa"/>
            <w:shd w:val="clear" w:color="auto" w:fill="auto"/>
            <w:tcMar>
              <w:top w:w="100" w:type="dxa"/>
              <w:left w:w="100" w:type="dxa"/>
              <w:bottom w:w="100" w:type="dxa"/>
              <w:right w:w="100" w:type="dxa"/>
            </w:tcMar>
          </w:tcPr>
          <w:p w14:paraId="71431A0C" w14:textId="1AF07360" w:rsidR="00BC09D0" w:rsidRPr="006F44AE" w:rsidRDefault="00541666">
            <w:pPr>
              <w:widowControl w:val="0"/>
              <w:spacing w:line="240" w:lineRule="auto"/>
              <w:rPr>
                <w:highlight w:val="yellow"/>
              </w:rPr>
            </w:pPr>
            <w:r w:rsidRPr="006F44AE">
              <w:t xml:space="preserve">Call with </w:t>
            </w:r>
            <w:r w:rsidR="00953BCF" w:rsidRPr="006F44AE">
              <w:t>M</w:t>
            </w:r>
            <w:r w:rsidRPr="006F44AE">
              <w:t>arriage colleagues</w:t>
            </w:r>
            <w:r w:rsidR="004A7729" w:rsidRPr="006F44AE">
              <w:t xml:space="preserve"> and Policy</w:t>
            </w:r>
            <w:r w:rsidRPr="006F44AE">
              <w:t xml:space="preserve"> arranged </w:t>
            </w:r>
            <w:r w:rsidR="004A7729" w:rsidRPr="006F44AE">
              <w:t>for the</w:t>
            </w:r>
            <w:r w:rsidR="00953BCF" w:rsidRPr="006F44AE">
              <w:t xml:space="preserve"> 11</w:t>
            </w:r>
            <w:r w:rsidR="004A7729" w:rsidRPr="006F44AE">
              <w:rPr>
                <w:vertAlign w:val="superscript"/>
              </w:rPr>
              <w:t>th</w:t>
            </w:r>
            <w:r w:rsidR="004A7729" w:rsidRPr="006F44AE">
              <w:t xml:space="preserve"> </w:t>
            </w:r>
            <w:r w:rsidR="00953BCF" w:rsidRPr="006F44AE">
              <w:t xml:space="preserve">March. </w:t>
            </w:r>
          </w:p>
        </w:tc>
      </w:tr>
      <w:tr w:rsidR="00C550F1" w:rsidRPr="006F44AE" w14:paraId="3767751E" w14:textId="77777777" w:rsidTr="00940543">
        <w:tc>
          <w:tcPr>
            <w:tcW w:w="5519" w:type="dxa"/>
            <w:shd w:val="clear" w:color="auto" w:fill="auto"/>
            <w:tcMar>
              <w:top w:w="100" w:type="dxa"/>
              <w:left w:w="100" w:type="dxa"/>
              <w:bottom w:w="100" w:type="dxa"/>
              <w:right w:w="100" w:type="dxa"/>
            </w:tcMar>
          </w:tcPr>
          <w:p w14:paraId="7CBDADE3" w14:textId="77777777" w:rsidR="00C550F1" w:rsidRPr="006F44AE" w:rsidRDefault="003A3F94" w:rsidP="00DF4AC8">
            <w:pPr>
              <w:widowControl w:val="0"/>
              <w:numPr>
                <w:ilvl w:val="0"/>
                <w:numId w:val="2"/>
              </w:numPr>
              <w:spacing w:line="240" w:lineRule="auto"/>
              <w:jc w:val="both"/>
              <w:rPr>
                <w:b/>
              </w:rPr>
            </w:pPr>
            <w:bookmarkStart w:id="0" w:name="_Hlk66966235"/>
            <w:r w:rsidRPr="006F44AE">
              <w:rPr>
                <w:b/>
              </w:rPr>
              <w:t>A</w:t>
            </w:r>
            <w:r w:rsidR="00D846E4" w:rsidRPr="006F44AE">
              <w:rPr>
                <w:b/>
              </w:rPr>
              <w:t>rchiving GOV.UK webpages (</w:t>
            </w:r>
            <w:r w:rsidR="00D846E4" w:rsidRPr="006F44AE">
              <w:rPr>
                <w:b/>
                <w:i/>
              </w:rPr>
              <w:t xml:space="preserve">issue 6 </w:t>
            </w:r>
            <w:r w:rsidR="00030049" w:rsidRPr="006F44AE">
              <w:rPr>
                <w:b/>
                <w:i/>
              </w:rPr>
              <w:t>in ILPA and the Law Society’s table</w:t>
            </w:r>
            <w:r w:rsidR="00D846E4" w:rsidRPr="006F44AE">
              <w:rPr>
                <w:b/>
              </w:rPr>
              <w:t>).</w:t>
            </w:r>
          </w:p>
          <w:p w14:paraId="13C4C638" w14:textId="77777777" w:rsidR="003A3F94" w:rsidRPr="006F44AE" w:rsidRDefault="003A3F94" w:rsidP="00DF4AC8">
            <w:pPr>
              <w:widowControl w:val="0"/>
              <w:spacing w:line="240" w:lineRule="auto"/>
              <w:jc w:val="both"/>
              <w:rPr>
                <w:b/>
              </w:rPr>
            </w:pPr>
          </w:p>
          <w:p w14:paraId="7EF5036B" w14:textId="77777777" w:rsidR="003A3F94" w:rsidRPr="006F44AE" w:rsidRDefault="003A3F94" w:rsidP="00DF4AC8">
            <w:pPr>
              <w:widowControl w:val="0"/>
              <w:spacing w:line="240" w:lineRule="auto"/>
              <w:ind w:left="360"/>
              <w:jc w:val="both"/>
            </w:pPr>
            <w:r w:rsidRPr="006F44AE">
              <w:t>We would be grateful for an update in relation to archiving GOV.UK webpages. ILPA maintain that all changes relating to Covid-19 made by the Home Office should be available in a single location. Furthermore, given that individuals may need to refer to the applicable policy at a particular point in time in a future application (many of whom may not be represented), it would be helpful for both individuals and caseworkers to have one document outlining the concessions that were introduced, when were they introduced and who did they cover.</w:t>
            </w:r>
          </w:p>
          <w:p w14:paraId="18911F1A" w14:textId="77777777" w:rsidR="00C550F1" w:rsidRPr="006F44AE" w:rsidRDefault="00C550F1" w:rsidP="00DF4AC8">
            <w:pPr>
              <w:widowControl w:val="0"/>
              <w:spacing w:line="240" w:lineRule="auto"/>
              <w:ind w:left="720"/>
              <w:jc w:val="both"/>
            </w:pPr>
          </w:p>
        </w:tc>
        <w:tc>
          <w:tcPr>
            <w:tcW w:w="7938" w:type="dxa"/>
            <w:shd w:val="clear" w:color="auto" w:fill="auto"/>
            <w:tcMar>
              <w:top w:w="100" w:type="dxa"/>
              <w:left w:w="100" w:type="dxa"/>
              <w:bottom w:w="100" w:type="dxa"/>
              <w:right w:w="100" w:type="dxa"/>
            </w:tcMar>
          </w:tcPr>
          <w:p w14:paraId="609C0E5A" w14:textId="77777777" w:rsidR="00DF1D75" w:rsidRPr="006F44AE" w:rsidRDefault="00DF1D75" w:rsidP="003A3F94">
            <w:pPr>
              <w:widowControl w:val="0"/>
              <w:spacing w:line="240" w:lineRule="auto"/>
            </w:pPr>
          </w:p>
          <w:p w14:paraId="284ACCDA" w14:textId="1586DACE" w:rsidR="00900FA2" w:rsidRPr="006F44AE" w:rsidRDefault="00DF1D75" w:rsidP="003A3F94">
            <w:pPr>
              <w:widowControl w:val="0"/>
              <w:spacing w:line="240" w:lineRule="auto"/>
            </w:pPr>
            <w:r w:rsidRPr="006F44AE">
              <w:t xml:space="preserve">The below link to the National Archives currently details instances of changes made to the following page: </w:t>
            </w:r>
            <w:hyperlink r:id="rId8" w:history="1">
              <w:r w:rsidRPr="006F44AE">
                <w:rPr>
                  <w:color w:val="0000FF"/>
                  <w:u w:val="single"/>
                </w:rPr>
                <w:t>https://www.gov.uk/guidance/coronavirus-covid-19-advice-for-uk-visa-applicants-and-temporary-uk-residents</w:t>
              </w:r>
            </w:hyperlink>
          </w:p>
          <w:p w14:paraId="532B972D" w14:textId="77777777" w:rsidR="00DF1D75" w:rsidRPr="006F44AE" w:rsidRDefault="00DF1D75" w:rsidP="003A3F94">
            <w:pPr>
              <w:widowControl w:val="0"/>
              <w:spacing w:line="240" w:lineRule="auto"/>
            </w:pPr>
          </w:p>
          <w:p w14:paraId="68F108EB" w14:textId="77777777" w:rsidR="00C550F1" w:rsidRPr="006F44AE" w:rsidRDefault="00FD78B7">
            <w:pPr>
              <w:widowControl w:val="0"/>
              <w:spacing w:line="240" w:lineRule="auto"/>
              <w:rPr>
                <w:rStyle w:val="Hyperlink"/>
              </w:rPr>
            </w:pPr>
            <w:r w:rsidRPr="006F44AE">
              <w:t>National Archives l</w:t>
            </w:r>
            <w:r w:rsidR="00DF1D75" w:rsidRPr="006F44AE">
              <w:t xml:space="preserve">ink: </w:t>
            </w:r>
            <w:hyperlink r:id="rId9" w:history="1">
              <w:r w:rsidR="00DF1D75" w:rsidRPr="006F44AE">
                <w:rPr>
                  <w:rStyle w:val="Hyperlink"/>
                </w:rPr>
                <w:t>https://webarchive.nationalarchives.gov.uk/*/https://www.gov.uk/guidance/coronavirus-covid-19-advice-for-uk-visa-applicants-and-temporary-uk-residents</w:t>
              </w:r>
            </w:hyperlink>
          </w:p>
          <w:p w14:paraId="730986CE" w14:textId="77777777" w:rsidR="00BC09D0" w:rsidRPr="006F44AE" w:rsidRDefault="00BC09D0">
            <w:pPr>
              <w:widowControl w:val="0"/>
              <w:spacing w:line="240" w:lineRule="auto"/>
              <w:rPr>
                <w:rStyle w:val="Hyperlink"/>
              </w:rPr>
            </w:pPr>
          </w:p>
          <w:p w14:paraId="6B3B642D" w14:textId="112994AD" w:rsidR="00F702EF" w:rsidRDefault="00953BCF" w:rsidP="00F702EF">
            <w:pPr>
              <w:rPr>
                <w:sz w:val="24"/>
                <w:szCs w:val="24"/>
                <w:lang w:eastAsia="en-US"/>
              </w:rPr>
            </w:pPr>
            <w:r w:rsidRPr="006F44AE">
              <w:t xml:space="preserve">Examples shared to George’s team have been </w:t>
            </w:r>
            <w:r w:rsidR="004A7729" w:rsidRPr="006F44AE">
              <w:t>passed on to the</w:t>
            </w:r>
            <w:r w:rsidRPr="006F44AE">
              <w:t xml:space="preserve"> relevant digital department</w:t>
            </w:r>
            <w:r w:rsidR="00C8455C" w:rsidRPr="006F44AE">
              <w:t xml:space="preserve"> for consideration</w:t>
            </w:r>
            <w:r w:rsidR="004A7729" w:rsidRPr="006F44AE">
              <w:t xml:space="preserve"> </w:t>
            </w:r>
            <w:r w:rsidR="00F702EF">
              <w:t>who have provided an update to say that w</w:t>
            </w:r>
            <w:r w:rsidR="00F702EF">
              <w:rPr>
                <w:sz w:val="24"/>
                <w:szCs w:val="24"/>
                <w:lang w:eastAsia="en-US"/>
              </w:rPr>
              <w:t xml:space="preserve">e can only archive text using the current National Archives system which enables it to be easily accessible and readable. If a version of a page is required, where changes appear not to be reflected in the NA system then a request can be made via the FOI procedure.  Additionally, the change notes footer on the </w:t>
            </w:r>
            <w:hyperlink r:id="rId10" w:history="1">
              <w:r w:rsidR="00F702EF">
                <w:rPr>
                  <w:rStyle w:val="Hyperlink"/>
                </w:rPr>
                <w:t>https://www.gov.uk/guidance/coronavirus-covid-</w:t>
              </w:r>
              <w:r w:rsidR="00F702EF">
                <w:rPr>
                  <w:rStyle w:val="Hyperlink"/>
                </w:rPr>
                <w:lastRenderedPageBreak/>
                <w:t>19-advice-for-uk-visa-applicants-and-temporary-uk-residents</w:t>
              </w:r>
            </w:hyperlink>
            <w:r w:rsidR="00F702EF">
              <w:t xml:space="preserve"> page</w:t>
            </w:r>
            <w:r w:rsidR="00F702EF">
              <w:rPr>
                <w:sz w:val="24"/>
                <w:szCs w:val="24"/>
                <w:lang w:eastAsia="en-US"/>
              </w:rPr>
              <w:t xml:space="preserve"> also portrays any changes in real time.</w:t>
            </w:r>
          </w:p>
          <w:p w14:paraId="607F0F84" w14:textId="77777777" w:rsidR="00F702EF" w:rsidRDefault="00F702EF" w:rsidP="00F702EF">
            <w:pPr>
              <w:rPr>
                <w:sz w:val="24"/>
                <w:szCs w:val="24"/>
                <w:lang w:eastAsia="en-US"/>
              </w:rPr>
            </w:pPr>
          </w:p>
          <w:p w14:paraId="781421F4" w14:textId="21C4BE30" w:rsidR="00BC09D0" w:rsidRPr="006F44AE" w:rsidRDefault="004A7729">
            <w:pPr>
              <w:widowControl w:val="0"/>
              <w:spacing w:line="240" w:lineRule="auto"/>
            </w:pPr>
            <w:r w:rsidRPr="006F44AE">
              <w:t xml:space="preserve"> </w:t>
            </w:r>
            <w:r w:rsidR="00953BCF" w:rsidRPr="006F44AE">
              <w:t xml:space="preserve"> </w:t>
            </w:r>
          </w:p>
        </w:tc>
      </w:tr>
      <w:tr w:rsidR="00EB7DE8" w:rsidRPr="006F44AE" w14:paraId="405795C2" w14:textId="77777777" w:rsidTr="00940543">
        <w:tc>
          <w:tcPr>
            <w:tcW w:w="5519" w:type="dxa"/>
            <w:shd w:val="clear" w:color="auto" w:fill="auto"/>
            <w:tcMar>
              <w:top w:w="100" w:type="dxa"/>
              <w:left w:w="100" w:type="dxa"/>
              <w:bottom w:w="100" w:type="dxa"/>
              <w:right w:w="100" w:type="dxa"/>
            </w:tcMar>
          </w:tcPr>
          <w:p w14:paraId="6B0F6C14" w14:textId="0164C614" w:rsidR="00EB7DE8" w:rsidRPr="006F44AE" w:rsidRDefault="00EB7DE8" w:rsidP="00EB7DE8">
            <w:pPr>
              <w:widowControl w:val="0"/>
              <w:numPr>
                <w:ilvl w:val="0"/>
                <w:numId w:val="2"/>
              </w:numPr>
              <w:spacing w:line="240" w:lineRule="auto"/>
              <w:jc w:val="both"/>
              <w:rPr>
                <w:b/>
              </w:rPr>
            </w:pPr>
            <w:bookmarkStart w:id="1" w:name="_Hlk65507738"/>
            <w:bookmarkStart w:id="2" w:name="_Hlk65511860"/>
            <w:bookmarkEnd w:id="0"/>
            <w:proofErr w:type="spellStart"/>
            <w:r w:rsidRPr="006F44AE">
              <w:rPr>
                <w:b/>
              </w:rPr>
              <w:lastRenderedPageBreak/>
              <w:t>Covid</w:t>
            </w:r>
            <w:proofErr w:type="spellEnd"/>
            <w:r w:rsidRPr="006F44AE">
              <w:rPr>
                <w:b/>
              </w:rPr>
              <w:t xml:space="preserve"> Visa Concession Scheme </w:t>
            </w:r>
            <w:bookmarkEnd w:id="1"/>
            <w:r w:rsidRPr="006F44AE">
              <w:rPr>
                <w:b/>
              </w:rPr>
              <w:t>(</w:t>
            </w:r>
            <w:r w:rsidRPr="006F44AE">
              <w:rPr>
                <w:b/>
                <w:i/>
              </w:rPr>
              <w:t>issue 11 in ILPA and the Law Society’s table</w:t>
            </w:r>
            <w:r w:rsidRPr="006F44AE">
              <w:rPr>
                <w:b/>
              </w:rPr>
              <w:t>).</w:t>
            </w:r>
          </w:p>
          <w:p w14:paraId="49B232ED" w14:textId="77777777" w:rsidR="00EB7DE8" w:rsidRPr="006F44AE" w:rsidRDefault="00EB7DE8" w:rsidP="00EB7DE8">
            <w:pPr>
              <w:widowControl w:val="0"/>
              <w:spacing w:line="240" w:lineRule="auto"/>
              <w:jc w:val="both"/>
              <w:rPr>
                <w:highlight w:val="yellow"/>
              </w:rPr>
            </w:pPr>
          </w:p>
          <w:p w14:paraId="54588B15" w14:textId="77777777" w:rsidR="00EB7DE8" w:rsidRPr="006F44AE" w:rsidRDefault="00EB7DE8" w:rsidP="00EB7DE8">
            <w:pPr>
              <w:pStyle w:val="ListParagraph"/>
              <w:widowControl w:val="0"/>
              <w:numPr>
                <w:ilvl w:val="0"/>
                <w:numId w:val="7"/>
              </w:numPr>
              <w:spacing w:line="240" w:lineRule="auto"/>
              <w:jc w:val="both"/>
              <w:rPr>
                <w:b/>
              </w:rPr>
            </w:pPr>
            <w:r w:rsidRPr="006F44AE">
              <w:rPr>
                <w:b/>
              </w:rPr>
              <w:t>While this policy response is welcome, we recommend removing the requirement that people must have left the UK before 17 March 2020.</w:t>
            </w:r>
          </w:p>
          <w:bookmarkEnd w:id="2"/>
          <w:p w14:paraId="4DE7EC14" w14:textId="0B3C69BB" w:rsidR="009520F0" w:rsidRPr="006F44AE" w:rsidRDefault="009520F0" w:rsidP="002D4214">
            <w:pPr>
              <w:widowControl w:val="0"/>
              <w:spacing w:line="240" w:lineRule="auto"/>
              <w:jc w:val="both"/>
              <w:rPr>
                <w:b/>
              </w:rPr>
            </w:pPr>
          </w:p>
        </w:tc>
        <w:tc>
          <w:tcPr>
            <w:tcW w:w="7938" w:type="dxa"/>
            <w:shd w:val="clear" w:color="auto" w:fill="auto"/>
            <w:tcMar>
              <w:top w:w="100" w:type="dxa"/>
              <w:left w:w="100" w:type="dxa"/>
              <w:bottom w:w="100" w:type="dxa"/>
              <w:right w:w="100" w:type="dxa"/>
            </w:tcMar>
          </w:tcPr>
          <w:p w14:paraId="685491F2" w14:textId="0C537F37" w:rsidR="00EB7DE8" w:rsidRPr="006F44AE" w:rsidRDefault="00EB7DE8" w:rsidP="00EB7DE8">
            <w:pPr>
              <w:widowControl w:val="0"/>
              <w:spacing w:line="240" w:lineRule="auto"/>
            </w:pPr>
          </w:p>
          <w:p w14:paraId="501DF023" w14:textId="77777777" w:rsidR="00402A04" w:rsidRPr="006F44AE" w:rsidRDefault="00402A04" w:rsidP="00EB7DE8">
            <w:pPr>
              <w:widowControl w:val="0"/>
              <w:spacing w:line="240" w:lineRule="auto"/>
            </w:pPr>
          </w:p>
          <w:p w14:paraId="3A711583" w14:textId="77777777" w:rsidR="00BE2B30" w:rsidRPr="006F44AE" w:rsidRDefault="00BE2B30" w:rsidP="00EB7DE8">
            <w:pPr>
              <w:widowControl w:val="0"/>
              <w:spacing w:line="240" w:lineRule="auto"/>
            </w:pPr>
          </w:p>
          <w:p w14:paraId="4B6A730C" w14:textId="6FE34E53" w:rsidR="00EC4711" w:rsidRPr="006F44AE" w:rsidRDefault="00953BCF" w:rsidP="00EC4711">
            <w:r w:rsidRPr="006F44AE">
              <w:t xml:space="preserve">Please </w:t>
            </w:r>
            <w:r w:rsidR="004A7729" w:rsidRPr="006F44AE">
              <w:t xml:space="preserve">see </w:t>
            </w:r>
            <w:r w:rsidRPr="006F44AE">
              <w:t>advice below from the CVCS guidance</w:t>
            </w:r>
            <w:r w:rsidR="004A7729" w:rsidRPr="006F44AE">
              <w:t xml:space="preserve"> for caseworkers</w:t>
            </w:r>
            <w:r w:rsidRPr="006F44AE">
              <w:t xml:space="preserve">:  </w:t>
            </w:r>
          </w:p>
          <w:p w14:paraId="4DCC784A" w14:textId="77777777" w:rsidR="00EC4711" w:rsidRPr="006F44AE" w:rsidRDefault="00EC4711" w:rsidP="00EC4711"/>
          <w:p w14:paraId="382F7C0F" w14:textId="77777777" w:rsidR="00EC4711" w:rsidRPr="006F44AE" w:rsidRDefault="00EC4711" w:rsidP="00EC4711">
            <w:pPr>
              <w:rPr>
                <w:b/>
              </w:rPr>
            </w:pPr>
            <w:r w:rsidRPr="006F44AE">
              <w:rPr>
                <w:b/>
              </w:rPr>
              <w:t>Exceptional circumstances</w:t>
            </w:r>
          </w:p>
          <w:p w14:paraId="10B728BD" w14:textId="77777777" w:rsidR="00EC4711" w:rsidRPr="006F44AE" w:rsidRDefault="00EC4711" w:rsidP="00EC4711">
            <w:pPr>
              <w:rPr>
                <w:color w:val="4472C4"/>
              </w:rPr>
            </w:pPr>
          </w:p>
          <w:p w14:paraId="5DA2939B" w14:textId="77777777" w:rsidR="00EC4711" w:rsidRPr="006F44AE" w:rsidRDefault="00EC4711" w:rsidP="00EC4711">
            <w:r w:rsidRPr="006F44AE">
              <w:t>This section gives examples of exceptional circumstances that may justify</w:t>
            </w:r>
          </w:p>
          <w:p w14:paraId="41057CF2" w14:textId="77777777" w:rsidR="00EC4711" w:rsidRPr="006F44AE" w:rsidRDefault="00EC4711" w:rsidP="00EC4711">
            <w:r w:rsidRPr="006F44AE">
              <w:t xml:space="preserve">consideration under the </w:t>
            </w:r>
            <w:proofErr w:type="spellStart"/>
            <w:r w:rsidRPr="006F44AE">
              <w:t>Covid</w:t>
            </w:r>
            <w:proofErr w:type="spellEnd"/>
            <w:r w:rsidRPr="006F44AE">
              <w:t xml:space="preserve"> Visa Concession Scheme (CVCS) even if the</w:t>
            </w:r>
          </w:p>
          <w:p w14:paraId="0A972F60" w14:textId="77777777" w:rsidR="00EC4711" w:rsidRPr="006F44AE" w:rsidRDefault="00EC4711" w:rsidP="00EC4711">
            <w:r w:rsidRPr="006F44AE">
              <w:t>eligibility criteria are not met.</w:t>
            </w:r>
          </w:p>
          <w:p w14:paraId="65013915" w14:textId="77777777" w:rsidR="00EC4711" w:rsidRPr="006F44AE" w:rsidRDefault="00EC4711" w:rsidP="00EC4711"/>
          <w:p w14:paraId="112E5395" w14:textId="2DDC2817" w:rsidR="00EC4711" w:rsidRPr="006F44AE" w:rsidRDefault="00EC4711" w:rsidP="00EC4711">
            <w:pPr>
              <w:rPr>
                <w:b/>
                <w:bCs/>
              </w:rPr>
            </w:pPr>
            <w:r w:rsidRPr="006F44AE">
              <w:rPr>
                <w:b/>
                <w:bCs/>
              </w:rPr>
              <w:t>The person may have left the UK after FCO travel advice changed on 17 March</w:t>
            </w:r>
            <w:r w:rsidR="004A7729" w:rsidRPr="006F44AE">
              <w:rPr>
                <w:b/>
                <w:bCs/>
              </w:rPr>
              <w:t xml:space="preserve"> </w:t>
            </w:r>
            <w:r w:rsidRPr="006F44AE">
              <w:rPr>
                <w:b/>
                <w:bCs/>
              </w:rPr>
              <w:t>2020 for compelling or compassionate reasons which include</w:t>
            </w:r>
            <w:r w:rsidRPr="006F44AE">
              <w:t>, but are not limited to:</w:t>
            </w:r>
          </w:p>
          <w:p w14:paraId="39492504" w14:textId="77777777" w:rsidR="00EC4711" w:rsidRPr="006F44AE" w:rsidRDefault="00EC4711" w:rsidP="00EC4711"/>
          <w:p w14:paraId="461DD289" w14:textId="77777777" w:rsidR="00EC4711" w:rsidRPr="006F44AE" w:rsidRDefault="00EC4711" w:rsidP="00EC4711">
            <w:r w:rsidRPr="006F44AE">
              <w:t>• serious illness or death of a close relative overseas</w:t>
            </w:r>
          </w:p>
          <w:p w14:paraId="0122A193" w14:textId="77777777" w:rsidR="00EC4711" w:rsidRPr="006F44AE" w:rsidRDefault="00EC4711" w:rsidP="00EC4711">
            <w:r w:rsidRPr="006F44AE">
              <w:t>• travel for the purpose of receiving medical treatment</w:t>
            </w:r>
          </w:p>
          <w:p w14:paraId="289D22AD" w14:textId="77777777" w:rsidR="00EC4711" w:rsidRPr="006F44AE" w:rsidRDefault="00EC4711" w:rsidP="00EC4711"/>
          <w:p w14:paraId="2F480903" w14:textId="77777777" w:rsidR="00EC4711" w:rsidRPr="006F44AE" w:rsidRDefault="00EC4711" w:rsidP="00EC4711">
            <w:r w:rsidRPr="006F44AE">
              <w:t>Where there are compelling or compassionate circumstances explicitly raised or</w:t>
            </w:r>
          </w:p>
          <w:p w14:paraId="798E85FA" w14:textId="77777777" w:rsidR="00EC4711" w:rsidRPr="006F44AE" w:rsidRDefault="00EC4711" w:rsidP="00EC4711">
            <w:r w:rsidRPr="006F44AE">
              <w:t>implied in the information the person provides, you must consider whether the</w:t>
            </w:r>
          </w:p>
          <w:p w14:paraId="6BB6ADC2" w14:textId="77777777" w:rsidR="00EC4711" w:rsidRPr="006F44AE" w:rsidRDefault="00EC4711" w:rsidP="00EC4711">
            <w:r w:rsidRPr="006F44AE">
              <w:t>concession should exceptionally apply to them and that grade 7 authority is</w:t>
            </w:r>
          </w:p>
          <w:p w14:paraId="5A34DD4B" w14:textId="77777777" w:rsidR="00EC4711" w:rsidRPr="006F44AE" w:rsidRDefault="00EC4711" w:rsidP="00EC4711">
            <w:r w:rsidRPr="006F44AE">
              <w:t>obtained.</w:t>
            </w:r>
          </w:p>
          <w:p w14:paraId="5558879E" w14:textId="33660DD5" w:rsidR="00BE2B30" w:rsidRPr="006F44AE" w:rsidRDefault="00BE2B30" w:rsidP="00EB7DE8">
            <w:pPr>
              <w:widowControl w:val="0"/>
              <w:spacing w:line="240" w:lineRule="auto"/>
            </w:pPr>
          </w:p>
        </w:tc>
      </w:tr>
      <w:tr w:rsidR="002D1BCC" w:rsidRPr="006F44AE" w14:paraId="41DB78E8" w14:textId="77777777" w:rsidTr="00940543">
        <w:tc>
          <w:tcPr>
            <w:tcW w:w="5519" w:type="dxa"/>
            <w:shd w:val="clear" w:color="auto" w:fill="auto"/>
            <w:tcMar>
              <w:top w:w="100" w:type="dxa"/>
              <w:left w:w="100" w:type="dxa"/>
              <w:bottom w:w="100" w:type="dxa"/>
              <w:right w:w="100" w:type="dxa"/>
            </w:tcMar>
          </w:tcPr>
          <w:p w14:paraId="59E1ED61" w14:textId="54675475" w:rsidR="002D1BCC" w:rsidRPr="006F44AE" w:rsidRDefault="002D1BCC" w:rsidP="00DF4AC8">
            <w:pPr>
              <w:widowControl w:val="0"/>
              <w:numPr>
                <w:ilvl w:val="0"/>
                <w:numId w:val="2"/>
              </w:numPr>
              <w:spacing w:line="240" w:lineRule="auto"/>
              <w:jc w:val="both"/>
              <w:rPr>
                <w:b/>
              </w:rPr>
            </w:pPr>
            <w:r w:rsidRPr="006F44AE">
              <w:rPr>
                <w:b/>
              </w:rPr>
              <w:t>Replacement vignettes (</w:t>
            </w:r>
            <w:r w:rsidRPr="006F44AE">
              <w:rPr>
                <w:b/>
                <w:i/>
              </w:rPr>
              <w:t xml:space="preserve">issue 14 </w:t>
            </w:r>
            <w:r w:rsidR="00030049" w:rsidRPr="006F44AE">
              <w:rPr>
                <w:b/>
                <w:i/>
              </w:rPr>
              <w:t>in ILPA and the Law Society’s table</w:t>
            </w:r>
            <w:r w:rsidRPr="006F44AE">
              <w:rPr>
                <w:b/>
              </w:rPr>
              <w:t>)</w:t>
            </w:r>
            <w:r w:rsidR="00EB7DE8" w:rsidRPr="006F44AE">
              <w:rPr>
                <w:b/>
              </w:rPr>
              <w:t>.</w:t>
            </w:r>
          </w:p>
          <w:p w14:paraId="4B5C7811" w14:textId="77777777" w:rsidR="00030049" w:rsidRPr="006F44AE" w:rsidRDefault="00030049" w:rsidP="00DF4AC8">
            <w:pPr>
              <w:widowControl w:val="0"/>
              <w:spacing w:line="240" w:lineRule="auto"/>
              <w:ind w:left="720"/>
              <w:jc w:val="both"/>
              <w:rPr>
                <w:b/>
              </w:rPr>
            </w:pPr>
          </w:p>
          <w:p w14:paraId="357713D2" w14:textId="2A189787" w:rsidR="00030049" w:rsidRPr="006F44AE" w:rsidRDefault="00030049" w:rsidP="00DF4AC8">
            <w:pPr>
              <w:widowControl w:val="0"/>
              <w:spacing w:line="240" w:lineRule="auto"/>
              <w:ind w:left="360"/>
              <w:jc w:val="both"/>
              <w:rPr>
                <w:b/>
              </w:rPr>
            </w:pPr>
            <w:r w:rsidRPr="006F44AE">
              <w:rPr>
                <w:b/>
              </w:rPr>
              <w:t xml:space="preserve">ILPA </w:t>
            </w:r>
            <w:r w:rsidR="00B24AD6" w:rsidRPr="006F44AE">
              <w:rPr>
                <w:b/>
              </w:rPr>
              <w:t xml:space="preserve">sent the following to the Home Office on </w:t>
            </w:r>
            <w:r w:rsidR="00B24AD6" w:rsidRPr="006F44AE">
              <w:rPr>
                <w:b/>
              </w:rPr>
              <w:lastRenderedPageBreak/>
              <w:t>12 November 2020</w:t>
            </w:r>
            <w:r w:rsidRPr="006F44AE">
              <w:rPr>
                <w:b/>
              </w:rPr>
              <w:t>:</w:t>
            </w:r>
          </w:p>
          <w:p w14:paraId="34402B7E" w14:textId="77777777" w:rsidR="00030049" w:rsidRPr="006F44AE" w:rsidRDefault="00030049" w:rsidP="00DF4AC8">
            <w:pPr>
              <w:widowControl w:val="0"/>
              <w:spacing w:line="240" w:lineRule="auto"/>
              <w:ind w:left="360"/>
              <w:jc w:val="both"/>
            </w:pPr>
          </w:p>
          <w:p w14:paraId="1CD15033" w14:textId="77777777" w:rsidR="002D1BCC" w:rsidRPr="006F44AE" w:rsidRDefault="002D1BCC" w:rsidP="00DF4AC8">
            <w:pPr>
              <w:widowControl w:val="0"/>
              <w:spacing w:line="240" w:lineRule="auto"/>
              <w:ind w:left="360"/>
              <w:jc w:val="both"/>
            </w:pPr>
            <w:r w:rsidRPr="006F44AE">
              <w:t>We have been notified of applicants who were granted Tier 2 leave valid for five years and were then unable to travel to the UK due to the pandemic. They were issued replacement vignettes and, at the same time, issued with new decision letters. The new grants of leave were for less than five years because the start date was aligned with the replacement vignette: the end date was unchanged. This means that a further, paid application will need to be made in order to reach the five years required for ILR.</w:t>
            </w:r>
          </w:p>
          <w:p w14:paraId="24FE7CAF" w14:textId="77777777" w:rsidR="002D1BCC" w:rsidRPr="006F44AE" w:rsidRDefault="002D1BCC" w:rsidP="00DF4AC8">
            <w:pPr>
              <w:widowControl w:val="0"/>
              <w:spacing w:line="240" w:lineRule="auto"/>
              <w:ind w:left="720" w:hanging="360"/>
              <w:jc w:val="both"/>
            </w:pPr>
          </w:p>
          <w:p w14:paraId="52021C57" w14:textId="7869E249" w:rsidR="002D1BCC" w:rsidRPr="006F44AE" w:rsidRDefault="00B24AD6" w:rsidP="00DF4AC8">
            <w:pPr>
              <w:widowControl w:val="0"/>
              <w:spacing w:line="240" w:lineRule="auto"/>
              <w:ind w:left="720" w:hanging="360"/>
              <w:jc w:val="both"/>
              <w:rPr>
                <w:b/>
              </w:rPr>
            </w:pPr>
            <w:r w:rsidRPr="006F44AE">
              <w:rPr>
                <w:b/>
              </w:rPr>
              <w:t xml:space="preserve">The </w:t>
            </w:r>
            <w:r w:rsidR="002D1BCC" w:rsidRPr="006F44AE">
              <w:rPr>
                <w:b/>
              </w:rPr>
              <w:t>Home Office</w:t>
            </w:r>
            <w:r w:rsidRPr="006F44AE">
              <w:rPr>
                <w:b/>
              </w:rPr>
              <w:t>’s</w:t>
            </w:r>
            <w:r w:rsidR="002D1BCC" w:rsidRPr="006F44AE">
              <w:rPr>
                <w:b/>
              </w:rPr>
              <w:t xml:space="preserve"> response</w:t>
            </w:r>
            <w:r w:rsidRPr="006F44AE">
              <w:rPr>
                <w:b/>
              </w:rPr>
              <w:t xml:space="preserve"> of 17 December 2020 was</w:t>
            </w:r>
            <w:r w:rsidR="002D1BCC" w:rsidRPr="006F44AE">
              <w:rPr>
                <w:b/>
              </w:rPr>
              <w:t>:</w:t>
            </w:r>
          </w:p>
          <w:p w14:paraId="36061C7C" w14:textId="77777777" w:rsidR="002D1BCC" w:rsidRPr="006F44AE" w:rsidRDefault="002D1BCC" w:rsidP="00DF4AC8">
            <w:pPr>
              <w:widowControl w:val="0"/>
              <w:spacing w:line="240" w:lineRule="auto"/>
              <w:ind w:left="720" w:hanging="360"/>
              <w:jc w:val="both"/>
            </w:pPr>
          </w:p>
          <w:p w14:paraId="237F8396" w14:textId="77777777" w:rsidR="002D1BCC" w:rsidRPr="006F44AE" w:rsidRDefault="002D1BCC" w:rsidP="00DF4AC8">
            <w:pPr>
              <w:widowControl w:val="0"/>
              <w:spacing w:line="240" w:lineRule="auto"/>
              <w:ind w:left="360"/>
              <w:jc w:val="both"/>
            </w:pPr>
            <w:r w:rsidRPr="006F44AE">
              <w:t>Contact is also made with sponsors on a case by case basis where needed Options are being considered (1) we are going to extend the leave to the full 5 years or, (2) enable the customer to apply for ILR when their leave expires and count the COVID related absence towards the qualifying period.</w:t>
            </w:r>
          </w:p>
          <w:p w14:paraId="6DE7D05B" w14:textId="77777777" w:rsidR="002D1BCC" w:rsidRPr="006F44AE" w:rsidRDefault="002D1BCC" w:rsidP="00DF4AC8">
            <w:pPr>
              <w:widowControl w:val="0"/>
              <w:spacing w:line="240" w:lineRule="auto"/>
              <w:ind w:left="720" w:hanging="360"/>
              <w:jc w:val="both"/>
            </w:pPr>
          </w:p>
          <w:p w14:paraId="71311C1B" w14:textId="77777777" w:rsidR="002D1BCC" w:rsidRPr="006F44AE" w:rsidRDefault="00030049" w:rsidP="00DF4AC8">
            <w:pPr>
              <w:pStyle w:val="ListParagraph"/>
              <w:numPr>
                <w:ilvl w:val="0"/>
                <w:numId w:val="7"/>
              </w:numPr>
              <w:jc w:val="both"/>
            </w:pPr>
            <w:r w:rsidRPr="006F44AE">
              <w:t>We would be grateful for an update in relation to this.</w:t>
            </w:r>
          </w:p>
          <w:p w14:paraId="04102B21" w14:textId="77777777" w:rsidR="00030049" w:rsidRPr="006F44AE" w:rsidRDefault="00030049" w:rsidP="00DF4AC8">
            <w:pPr>
              <w:pStyle w:val="ListParagraph"/>
              <w:jc w:val="both"/>
            </w:pPr>
          </w:p>
        </w:tc>
        <w:tc>
          <w:tcPr>
            <w:tcW w:w="7938" w:type="dxa"/>
            <w:shd w:val="clear" w:color="auto" w:fill="auto"/>
            <w:tcMar>
              <w:top w:w="100" w:type="dxa"/>
              <w:left w:w="100" w:type="dxa"/>
              <w:bottom w:w="100" w:type="dxa"/>
              <w:right w:w="100" w:type="dxa"/>
            </w:tcMar>
          </w:tcPr>
          <w:p w14:paraId="06287591" w14:textId="16227770" w:rsidR="00C10B6F" w:rsidRPr="006F44AE" w:rsidRDefault="00C10B6F" w:rsidP="00CD1F75">
            <w:pPr>
              <w:spacing w:line="240" w:lineRule="auto"/>
              <w:rPr>
                <w:color w:val="000000"/>
              </w:rPr>
            </w:pPr>
            <w:r w:rsidRPr="006F44AE">
              <w:rPr>
                <w:color w:val="000000"/>
              </w:rPr>
              <w:lastRenderedPageBreak/>
              <w:t xml:space="preserve">For those customers who were unable to travel and received less than 5 years who either contacted us or the sponsor updated the employment dates on the COS we have already amended with new employment dates. The immigration rules only allow us to grant to the end of the employment period as stated on </w:t>
            </w:r>
            <w:r w:rsidRPr="006F44AE">
              <w:rPr>
                <w:color w:val="000000"/>
              </w:rPr>
              <w:lastRenderedPageBreak/>
              <w:t>the COS +14 days so in the absence of updated employment dates these could have been issued for less than 5 years however those raised to us in these circumstances have already been amended to reflect the duration requested.</w:t>
            </w:r>
          </w:p>
          <w:p w14:paraId="5932DE84" w14:textId="77777777" w:rsidR="00C10B6F" w:rsidRPr="006F44AE" w:rsidRDefault="00C10B6F" w:rsidP="00CD1F75">
            <w:pPr>
              <w:spacing w:line="240" w:lineRule="auto"/>
              <w:rPr>
                <w:color w:val="000000"/>
              </w:rPr>
            </w:pPr>
          </w:p>
          <w:p w14:paraId="0F8F598E" w14:textId="021B3C10" w:rsidR="00C10B6F" w:rsidRPr="006F44AE" w:rsidRDefault="00C10B6F" w:rsidP="00CD1F75">
            <w:pPr>
              <w:spacing w:line="240" w:lineRule="auto"/>
              <w:rPr>
                <w:color w:val="000000"/>
              </w:rPr>
            </w:pPr>
            <w:r w:rsidRPr="006F44AE">
              <w:rPr>
                <w:color w:val="000000"/>
              </w:rPr>
              <w:t>In relation to the LTR cases th</w:t>
            </w:r>
            <w:r w:rsidR="00CD1F75" w:rsidRPr="006F44AE">
              <w:rPr>
                <w:color w:val="000000"/>
              </w:rPr>
              <w:t xml:space="preserve">at are </w:t>
            </w:r>
            <w:r w:rsidRPr="006F44AE">
              <w:rPr>
                <w:color w:val="000000"/>
              </w:rPr>
              <w:t xml:space="preserve"> impact</w:t>
            </w:r>
            <w:r w:rsidR="00CD1F75" w:rsidRPr="006F44AE">
              <w:rPr>
                <w:color w:val="000000"/>
              </w:rPr>
              <w:t xml:space="preserve">ed, </w:t>
            </w:r>
            <w:r w:rsidRPr="006F44AE">
              <w:rPr>
                <w:color w:val="000000"/>
              </w:rPr>
              <w:t xml:space="preserve"> </w:t>
            </w:r>
            <w:r w:rsidR="00CD1F75" w:rsidRPr="006F44AE">
              <w:rPr>
                <w:color w:val="000000"/>
              </w:rPr>
              <w:t>P</w:t>
            </w:r>
            <w:r w:rsidRPr="006F44AE">
              <w:rPr>
                <w:color w:val="000000"/>
              </w:rPr>
              <w:t xml:space="preserve">olicy have agreed to look into a formal concession </w:t>
            </w:r>
            <w:r w:rsidR="00CD1F75" w:rsidRPr="006F44AE">
              <w:rPr>
                <w:color w:val="000000"/>
              </w:rPr>
              <w:t>as</w:t>
            </w:r>
            <w:r w:rsidRPr="006F44AE">
              <w:rPr>
                <w:color w:val="000000"/>
              </w:rPr>
              <w:t xml:space="preserve"> these weren’t affected in the same way as those outside the UK as there was a formal concession in place which allowed them to work for the employer whilst the application was outstanding and there status was covered by 3C leave for the majority.</w:t>
            </w:r>
          </w:p>
          <w:p w14:paraId="565D8136" w14:textId="77777777" w:rsidR="002D1BCC" w:rsidRPr="006F44AE" w:rsidRDefault="002D1BCC" w:rsidP="002D1BCC">
            <w:pPr>
              <w:rPr>
                <w:highlight w:val="yellow"/>
              </w:rPr>
            </w:pPr>
          </w:p>
          <w:p w14:paraId="7B533314" w14:textId="6EF16230" w:rsidR="00DE2485" w:rsidRPr="006F44AE" w:rsidRDefault="00DE2485" w:rsidP="002D1BCC">
            <w:pPr>
              <w:rPr>
                <w:highlight w:val="yellow"/>
              </w:rPr>
            </w:pPr>
          </w:p>
        </w:tc>
      </w:tr>
      <w:tr w:rsidR="002D1BCC" w:rsidRPr="006F44AE" w14:paraId="3C20E03E" w14:textId="77777777" w:rsidTr="00940543">
        <w:tc>
          <w:tcPr>
            <w:tcW w:w="5519" w:type="dxa"/>
            <w:shd w:val="clear" w:color="auto" w:fill="auto"/>
            <w:tcMar>
              <w:top w:w="100" w:type="dxa"/>
              <w:left w:w="100" w:type="dxa"/>
              <w:bottom w:w="100" w:type="dxa"/>
              <w:right w:w="100" w:type="dxa"/>
            </w:tcMar>
          </w:tcPr>
          <w:p w14:paraId="1BBA32D3" w14:textId="77777777" w:rsidR="00030049" w:rsidRPr="006F44AE" w:rsidRDefault="00030049" w:rsidP="00DF4AC8">
            <w:pPr>
              <w:widowControl w:val="0"/>
              <w:numPr>
                <w:ilvl w:val="0"/>
                <w:numId w:val="2"/>
              </w:numPr>
              <w:spacing w:line="240" w:lineRule="auto"/>
              <w:jc w:val="both"/>
              <w:rPr>
                <w:b/>
              </w:rPr>
            </w:pPr>
            <w:r w:rsidRPr="006F44AE">
              <w:rPr>
                <w:b/>
              </w:rPr>
              <w:lastRenderedPageBreak/>
              <w:t>Indefinite Leave to Remain (</w:t>
            </w:r>
            <w:r w:rsidRPr="006F44AE">
              <w:rPr>
                <w:b/>
                <w:i/>
              </w:rPr>
              <w:t>issue 16 in ILPA and the Law Society’s table</w:t>
            </w:r>
            <w:r w:rsidRPr="006F44AE">
              <w:rPr>
                <w:b/>
              </w:rPr>
              <w:t>).</w:t>
            </w:r>
          </w:p>
          <w:p w14:paraId="513C9AA0" w14:textId="77777777" w:rsidR="00030049" w:rsidRPr="006F44AE" w:rsidRDefault="00030049" w:rsidP="00DF4AC8">
            <w:pPr>
              <w:widowControl w:val="0"/>
              <w:spacing w:line="240" w:lineRule="auto"/>
              <w:ind w:left="720"/>
              <w:jc w:val="both"/>
              <w:rPr>
                <w:b/>
              </w:rPr>
            </w:pPr>
          </w:p>
          <w:p w14:paraId="1D04BB07" w14:textId="77777777" w:rsidR="00030049" w:rsidRPr="006F44AE" w:rsidRDefault="00030049" w:rsidP="00DF4AC8">
            <w:pPr>
              <w:pStyle w:val="ListParagraph"/>
              <w:widowControl w:val="0"/>
              <w:numPr>
                <w:ilvl w:val="0"/>
                <w:numId w:val="7"/>
              </w:numPr>
              <w:spacing w:line="240" w:lineRule="auto"/>
              <w:jc w:val="both"/>
              <w:rPr>
                <w:b/>
              </w:rPr>
            </w:pPr>
            <w:r w:rsidRPr="006F44AE">
              <w:rPr>
                <w:b/>
              </w:rPr>
              <w:t>Our outstanding recommendations are as follows:</w:t>
            </w:r>
          </w:p>
          <w:p w14:paraId="5987B948" w14:textId="77777777" w:rsidR="00030049" w:rsidRPr="006F44AE" w:rsidRDefault="00030049" w:rsidP="00DF4AC8">
            <w:pPr>
              <w:pStyle w:val="ListParagraph"/>
              <w:widowControl w:val="0"/>
              <w:spacing w:line="240" w:lineRule="auto"/>
              <w:jc w:val="both"/>
              <w:rPr>
                <w:b/>
              </w:rPr>
            </w:pPr>
          </w:p>
          <w:p w14:paraId="2D80E091" w14:textId="31BA15B7" w:rsidR="0035053D" w:rsidRPr="006F44AE" w:rsidRDefault="00030049" w:rsidP="0035053D">
            <w:pPr>
              <w:pStyle w:val="ListParagraph"/>
              <w:widowControl w:val="0"/>
              <w:numPr>
                <w:ilvl w:val="1"/>
                <w:numId w:val="2"/>
              </w:numPr>
              <w:spacing w:line="240" w:lineRule="auto"/>
              <w:jc w:val="both"/>
              <w:rPr>
                <w:b/>
              </w:rPr>
            </w:pPr>
            <w:r w:rsidRPr="006F44AE">
              <w:rPr>
                <w:b/>
              </w:rPr>
              <w:t>Updating the l</w:t>
            </w:r>
            <w:r w:rsidR="002D1BCC" w:rsidRPr="006F44AE">
              <w:rPr>
                <w:b/>
              </w:rPr>
              <w:t xml:space="preserve">ong residence guidance so that absences that arose </w:t>
            </w:r>
            <w:r w:rsidR="002D1BCC" w:rsidRPr="006F44AE">
              <w:rPr>
                <w:b/>
              </w:rPr>
              <w:lastRenderedPageBreak/>
              <w:t>due to the pandemic are waived.</w:t>
            </w:r>
          </w:p>
          <w:p w14:paraId="4ADFD2A4" w14:textId="77777777" w:rsidR="0035053D" w:rsidRPr="006F44AE" w:rsidRDefault="0035053D" w:rsidP="0035053D">
            <w:pPr>
              <w:pStyle w:val="ListParagraph"/>
              <w:widowControl w:val="0"/>
              <w:spacing w:line="240" w:lineRule="auto"/>
              <w:ind w:left="1440"/>
              <w:jc w:val="both"/>
              <w:rPr>
                <w:b/>
              </w:rPr>
            </w:pPr>
          </w:p>
          <w:p w14:paraId="0FFE817B" w14:textId="07A0AA29" w:rsidR="0035053D" w:rsidRPr="006F44AE" w:rsidRDefault="002D1BCC" w:rsidP="0035053D">
            <w:pPr>
              <w:pStyle w:val="ListParagraph"/>
              <w:widowControl w:val="0"/>
              <w:numPr>
                <w:ilvl w:val="1"/>
                <w:numId w:val="2"/>
              </w:numPr>
              <w:spacing w:line="240" w:lineRule="auto"/>
              <w:jc w:val="both"/>
              <w:rPr>
                <w:b/>
              </w:rPr>
            </w:pPr>
            <w:r w:rsidRPr="006F44AE">
              <w:rPr>
                <w:b/>
              </w:rPr>
              <w:t>Stranded applicants should be allowed to make ILR applications from outside the UK</w:t>
            </w:r>
          </w:p>
          <w:p w14:paraId="2B94583D" w14:textId="77777777" w:rsidR="0035053D" w:rsidRPr="006F44AE" w:rsidRDefault="0035053D" w:rsidP="0035053D">
            <w:pPr>
              <w:pStyle w:val="ListParagraph"/>
              <w:rPr>
                <w:b/>
              </w:rPr>
            </w:pPr>
          </w:p>
          <w:p w14:paraId="5DA356AF" w14:textId="4FEEDA78" w:rsidR="002D1BCC" w:rsidRPr="006F44AE" w:rsidRDefault="002D1BCC" w:rsidP="0035053D">
            <w:pPr>
              <w:pStyle w:val="ListParagraph"/>
              <w:widowControl w:val="0"/>
              <w:numPr>
                <w:ilvl w:val="1"/>
                <w:numId w:val="2"/>
              </w:numPr>
              <w:spacing w:line="240" w:lineRule="auto"/>
              <w:jc w:val="both"/>
              <w:rPr>
                <w:b/>
              </w:rPr>
            </w:pPr>
            <w:r w:rsidRPr="006F44AE">
              <w:rPr>
                <w:b/>
              </w:rPr>
              <w:t xml:space="preserve">The ‘foreseeable future’ requirement for Tier 2/Skilled Worker ILR applications should either be suspended or removed. </w:t>
            </w:r>
          </w:p>
          <w:p w14:paraId="47560B69" w14:textId="77777777" w:rsidR="00750B5B" w:rsidRPr="006F44AE" w:rsidRDefault="00750B5B" w:rsidP="00750B5B">
            <w:pPr>
              <w:pStyle w:val="ListParagraph"/>
              <w:rPr>
                <w:b/>
              </w:rPr>
            </w:pPr>
          </w:p>
          <w:p w14:paraId="1940003E" w14:textId="77777777" w:rsidR="00750B5B" w:rsidRPr="006F44AE" w:rsidRDefault="00750B5B" w:rsidP="00750B5B">
            <w:pPr>
              <w:pStyle w:val="ListParagraph"/>
              <w:widowControl w:val="0"/>
              <w:spacing w:line="240" w:lineRule="auto"/>
              <w:ind w:left="1440"/>
              <w:jc w:val="both"/>
              <w:rPr>
                <w:b/>
              </w:rPr>
            </w:pPr>
          </w:p>
          <w:p w14:paraId="5E416EC9" w14:textId="65BEE56D" w:rsidR="002D1BCC" w:rsidRPr="006F44AE" w:rsidRDefault="00F70210" w:rsidP="00D24180">
            <w:hyperlink r:id="rId11" w:history="1">
              <w:r w:rsidR="00750B5B" w:rsidRPr="006F44AE">
                <w:rPr>
                  <w:rStyle w:val="Hyperlink"/>
                  <w:color w:val="auto"/>
                </w:rPr>
                <w:t>Long residence guidance</w:t>
              </w:r>
            </w:hyperlink>
            <w:r w:rsidR="00750B5B" w:rsidRPr="006F44AE">
              <w:t xml:space="preserve"> (last updated 28 October 2019)</w:t>
            </w:r>
            <w:r w:rsidR="00750B5B" w:rsidRPr="006F44AE">
              <w:rPr>
                <w:color w:val="00B0F0"/>
              </w:rPr>
              <w:t xml:space="preserve">- </w:t>
            </w:r>
          </w:p>
        </w:tc>
        <w:tc>
          <w:tcPr>
            <w:tcW w:w="7938" w:type="dxa"/>
            <w:shd w:val="clear" w:color="auto" w:fill="auto"/>
            <w:tcMar>
              <w:top w:w="100" w:type="dxa"/>
              <w:left w:w="100" w:type="dxa"/>
              <w:bottom w:w="100" w:type="dxa"/>
              <w:right w:w="100" w:type="dxa"/>
            </w:tcMar>
          </w:tcPr>
          <w:p w14:paraId="09E080DF" w14:textId="601F9EA2" w:rsidR="00CD1F75" w:rsidRPr="006F44AE" w:rsidRDefault="00CD1F75" w:rsidP="00DC7BE6"/>
          <w:p w14:paraId="6B8AED69" w14:textId="108CB518" w:rsidR="00DC7BE6" w:rsidRPr="006F44AE" w:rsidRDefault="00DC7BE6" w:rsidP="00CD1F75">
            <w:pPr>
              <w:pStyle w:val="ListParagraph"/>
              <w:numPr>
                <w:ilvl w:val="0"/>
                <w:numId w:val="30"/>
              </w:numPr>
            </w:pPr>
            <w:r w:rsidRPr="006F44AE">
              <w:t xml:space="preserve">We have already made changes regarding </w:t>
            </w:r>
            <w:proofErr w:type="spellStart"/>
            <w:r w:rsidRPr="006F44AE">
              <w:t>naturalisation</w:t>
            </w:r>
            <w:proofErr w:type="spellEnd"/>
            <w:r w:rsidRPr="006F44AE">
              <w:t xml:space="preserve"> and absences for returning residents</w:t>
            </w:r>
            <w:r w:rsidR="00CD1F75" w:rsidRPr="006F44AE">
              <w:t>.  Any additional changes</w:t>
            </w:r>
            <w:r w:rsidRPr="006F44AE">
              <w:t xml:space="preserve"> ma</w:t>
            </w:r>
            <w:r w:rsidR="00CD1F75" w:rsidRPr="006F44AE">
              <w:t>d</w:t>
            </w:r>
            <w:r w:rsidRPr="006F44AE">
              <w:t>e to long residency will be forwarded to ILPA/Law Society, along with going live on the GOV.UK website.</w:t>
            </w:r>
          </w:p>
          <w:p w14:paraId="1172A065" w14:textId="77777777" w:rsidR="00CD1F75" w:rsidRPr="006F44AE" w:rsidRDefault="00CD1F75" w:rsidP="00EC4711"/>
          <w:p w14:paraId="4EA7B044" w14:textId="3F7BF9E3" w:rsidR="00DE2485" w:rsidRPr="006F44AE" w:rsidRDefault="00FC3286" w:rsidP="00EC4711">
            <w:pPr>
              <w:pStyle w:val="ListParagraph"/>
              <w:numPr>
                <w:ilvl w:val="0"/>
                <w:numId w:val="30"/>
              </w:numPr>
            </w:pPr>
            <w:r w:rsidRPr="006F44AE">
              <w:lastRenderedPageBreak/>
              <w:t xml:space="preserve">A concession and process </w:t>
            </w:r>
            <w:proofErr w:type="gramStart"/>
            <w:r w:rsidRPr="006F44AE">
              <w:t>is</w:t>
            </w:r>
            <w:proofErr w:type="gramEnd"/>
            <w:r w:rsidRPr="006F44AE">
              <w:t xml:space="preserve"> in place for those who are stranded overseas</w:t>
            </w:r>
            <w:r w:rsidR="004A7729" w:rsidRPr="006F44AE">
              <w:t>;</w:t>
            </w:r>
            <w:r w:rsidR="00E41C96" w:rsidRPr="006F44AE">
              <w:t xml:space="preserve"> </w:t>
            </w:r>
            <w:r w:rsidR="004A7729" w:rsidRPr="006F44AE">
              <w:t>both</w:t>
            </w:r>
            <w:r w:rsidR="00E41C96" w:rsidRPr="006F44AE">
              <w:t xml:space="preserve"> ‘CVCS’ and ‘Returning Resident’ scheme</w:t>
            </w:r>
            <w:r w:rsidRPr="006F44AE">
              <w:t>.</w:t>
            </w:r>
          </w:p>
          <w:p w14:paraId="4B26178B" w14:textId="6C65E8E1" w:rsidR="00CD1F75" w:rsidRPr="006F44AE" w:rsidRDefault="00CD1F75" w:rsidP="00940543"/>
          <w:p w14:paraId="721B6D1F" w14:textId="5072274B" w:rsidR="00940543" w:rsidRPr="006F44AE" w:rsidRDefault="00CD1F75" w:rsidP="00EC4711">
            <w:pPr>
              <w:pStyle w:val="ListParagraph"/>
              <w:numPr>
                <w:ilvl w:val="0"/>
                <w:numId w:val="30"/>
              </w:numPr>
            </w:pPr>
            <w:r w:rsidRPr="006F44AE">
              <w:t>There are</w:t>
            </w:r>
            <w:r w:rsidR="00940543" w:rsidRPr="006F44AE">
              <w:t xml:space="preserve"> no plans to suspend or remove this requirement, which acts as a guarantee (a) the worker will not become economically inactive, or less active, as soon as they are granted settlement; and (b) the salary has not been only temporarily increased for the purpose of meeting the settlement requirements.</w:t>
            </w:r>
          </w:p>
          <w:p w14:paraId="0F43EE7D" w14:textId="7DFA1272" w:rsidR="00FC3286" w:rsidRPr="006F44AE" w:rsidRDefault="00FC3286" w:rsidP="00940543"/>
        </w:tc>
      </w:tr>
      <w:tr w:rsidR="006E661C" w:rsidRPr="006F44AE" w14:paraId="2E325825" w14:textId="77777777" w:rsidTr="00940543">
        <w:tc>
          <w:tcPr>
            <w:tcW w:w="5519" w:type="dxa"/>
            <w:shd w:val="clear" w:color="auto" w:fill="auto"/>
            <w:tcMar>
              <w:top w:w="100" w:type="dxa"/>
              <w:left w:w="100" w:type="dxa"/>
              <w:bottom w:w="100" w:type="dxa"/>
              <w:right w:w="100" w:type="dxa"/>
            </w:tcMar>
          </w:tcPr>
          <w:p w14:paraId="55C066B1" w14:textId="77777777" w:rsidR="006E661C" w:rsidRPr="006F44AE" w:rsidRDefault="006E661C" w:rsidP="006E661C">
            <w:pPr>
              <w:widowControl w:val="0"/>
              <w:numPr>
                <w:ilvl w:val="0"/>
                <w:numId w:val="2"/>
              </w:numPr>
              <w:spacing w:line="240" w:lineRule="auto"/>
              <w:jc w:val="both"/>
              <w:rPr>
                <w:b/>
              </w:rPr>
            </w:pPr>
            <w:bookmarkStart w:id="3" w:name="_Hlk65179888"/>
            <w:r w:rsidRPr="006F44AE">
              <w:rPr>
                <w:b/>
              </w:rPr>
              <w:lastRenderedPageBreak/>
              <w:t>No recourse to public funds (NRPF) (</w:t>
            </w:r>
            <w:r w:rsidRPr="006F44AE">
              <w:rPr>
                <w:b/>
                <w:i/>
              </w:rPr>
              <w:t>issue 17 in ILPA and the Law Society’s table</w:t>
            </w:r>
            <w:r w:rsidRPr="006F44AE">
              <w:rPr>
                <w:b/>
              </w:rPr>
              <w:t>).</w:t>
            </w:r>
            <w:r w:rsidRPr="006F44AE">
              <w:rPr>
                <w:b/>
              </w:rPr>
              <w:cr/>
            </w:r>
          </w:p>
          <w:p w14:paraId="021F1F9A" w14:textId="3FD478B0" w:rsidR="006E661C" w:rsidRPr="006F44AE" w:rsidRDefault="006E661C" w:rsidP="00F64460">
            <w:pPr>
              <w:pStyle w:val="NoSpacing"/>
              <w:numPr>
                <w:ilvl w:val="0"/>
                <w:numId w:val="31"/>
              </w:numPr>
              <w:jc w:val="both"/>
              <w:rPr>
                <w:rFonts w:ascii="Arial" w:hAnsi="Arial" w:cs="Arial"/>
                <w:sz w:val="22"/>
                <w:szCs w:val="22"/>
              </w:rPr>
            </w:pPr>
            <w:r w:rsidRPr="006F44AE">
              <w:rPr>
                <w:rFonts w:ascii="Arial" w:hAnsi="Arial" w:cs="Arial"/>
                <w:sz w:val="22"/>
                <w:szCs w:val="22"/>
              </w:rPr>
              <w:t>The Home Office has introduced a concession for people that allows those whose income has been affected by the pandemic to remain in the five-year route to settlement</w:t>
            </w:r>
            <w:r w:rsidRPr="006F44AE">
              <w:rPr>
                <w:rStyle w:val="FootnoteReference"/>
                <w:rFonts w:ascii="Arial" w:hAnsi="Arial" w:cs="Arial"/>
                <w:sz w:val="22"/>
                <w:szCs w:val="22"/>
              </w:rPr>
              <w:footnoteReference w:id="2"/>
            </w:r>
            <w:r w:rsidRPr="006F44AE">
              <w:rPr>
                <w:rFonts w:ascii="Arial" w:hAnsi="Arial" w:cs="Arial"/>
                <w:sz w:val="22"/>
                <w:szCs w:val="22"/>
              </w:rPr>
              <w:t xml:space="preserve">. Otherwise, many would face being moved into the ten-year route if unable to meet the minimum income requirements. </w:t>
            </w:r>
            <w:proofErr w:type="gramStart"/>
            <w:r w:rsidRPr="006F44AE">
              <w:rPr>
                <w:rFonts w:ascii="Arial" w:hAnsi="Arial" w:cs="Arial"/>
                <w:sz w:val="22"/>
                <w:szCs w:val="22"/>
              </w:rPr>
              <w:t>However</w:t>
            </w:r>
            <w:proofErr w:type="gramEnd"/>
            <w:r w:rsidRPr="006F44AE">
              <w:rPr>
                <w:rFonts w:ascii="Arial" w:hAnsi="Arial" w:cs="Arial"/>
                <w:sz w:val="22"/>
                <w:szCs w:val="22"/>
              </w:rPr>
              <w:t xml:space="preserve"> no concession has been introduced in respect of people who are in the five-year route whose income has been impacted and who as a result require access to public funds.</w:t>
            </w:r>
          </w:p>
          <w:p w14:paraId="7F0C0579" w14:textId="77777777" w:rsidR="006E661C" w:rsidRPr="006F44AE" w:rsidRDefault="006E661C" w:rsidP="006E661C">
            <w:pPr>
              <w:pStyle w:val="NoSpacing"/>
              <w:ind w:left="321"/>
              <w:jc w:val="both"/>
              <w:rPr>
                <w:rFonts w:ascii="Arial" w:hAnsi="Arial" w:cs="Arial"/>
                <w:sz w:val="22"/>
                <w:szCs w:val="22"/>
              </w:rPr>
            </w:pPr>
          </w:p>
          <w:p w14:paraId="0B3AEB73" w14:textId="097D6EBF" w:rsidR="006E661C" w:rsidRPr="006F44AE" w:rsidRDefault="006E661C" w:rsidP="00F64460">
            <w:pPr>
              <w:pStyle w:val="NoSpacing"/>
              <w:numPr>
                <w:ilvl w:val="0"/>
                <w:numId w:val="31"/>
              </w:numPr>
              <w:jc w:val="both"/>
              <w:rPr>
                <w:rFonts w:ascii="Arial" w:hAnsi="Arial" w:cs="Arial"/>
                <w:sz w:val="22"/>
                <w:szCs w:val="22"/>
              </w:rPr>
            </w:pPr>
            <w:r w:rsidRPr="006F44AE">
              <w:rPr>
                <w:rFonts w:ascii="Arial" w:hAnsi="Arial" w:cs="Arial"/>
                <w:sz w:val="22"/>
                <w:szCs w:val="22"/>
              </w:rPr>
              <w:t xml:space="preserve">To illustrate, if a family who were in the five-year route to settlement lost income due to the pandemic, such that they require access to public funds in order to survive, they could make a Change of Conditions application to the Home Office. This is an onerous application process that requires the </w:t>
            </w:r>
            <w:r w:rsidRPr="006F44AE">
              <w:rPr>
                <w:rFonts w:ascii="Arial" w:hAnsi="Arial" w:cs="Arial"/>
                <w:sz w:val="22"/>
                <w:szCs w:val="22"/>
              </w:rPr>
              <w:lastRenderedPageBreak/>
              <w:t>provision of a lot of evidence and explanation about the family’s finances. If the application is granted, the Home Office will move the family out of the five-year and into the ten-year route to settlement. At that point the family will then be able to apply for benefits which will be granted only if they are deemed eligible. The current application fee for this route is £1,033</w:t>
            </w:r>
            <w:r w:rsidRPr="006F44AE">
              <w:rPr>
                <w:rStyle w:val="FootnoteReference"/>
                <w:rFonts w:ascii="Arial" w:hAnsi="Arial" w:cs="Arial"/>
                <w:sz w:val="22"/>
                <w:szCs w:val="22"/>
              </w:rPr>
              <w:footnoteReference w:id="3"/>
            </w:r>
            <w:r w:rsidRPr="006F44AE">
              <w:rPr>
                <w:rFonts w:ascii="Arial" w:hAnsi="Arial" w:cs="Arial"/>
                <w:sz w:val="22"/>
                <w:szCs w:val="22"/>
              </w:rPr>
              <w:t xml:space="preserve"> per person and Immigration Health Surcharge of £1,560 (Adult)</w:t>
            </w:r>
            <w:r w:rsidRPr="006F44AE">
              <w:rPr>
                <w:rStyle w:val="FootnoteReference"/>
                <w:rFonts w:ascii="Arial" w:hAnsi="Arial" w:cs="Arial"/>
                <w:sz w:val="22"/>
                <w:szCs w:val="22"/>
              </w:rPr>
              <w:footnoteReference w:id="4"/>
            </w:r>
            <w:r w:rsidRPr="006F44AE">
              <w:rPr>
                <w:rFonts w:ascii="Arial" w:hAnsi="Arial" w:cs="Arial"/>
                <w:sz w:val="22"/>
                <w:szCs w:val="22"/>
              </w:rPr>
              <w:t xml:space="preserve"> and £1,175 (Child). The total for a family of four including two children is £9,602 (£4,132 plus £5,470) each time they need to apply. This is a hefty financial penalty to be applied to people who are only in that situation due to their financial struggles resulting from the pandemic. </w:t>
            </w:r>
          </w:p>
          <w:p w14:paraId="506BF099" w14:textId="392C0720" w:rsidR="006E661C" w:rsidRPr="006F44AE" w:rsidRDefault="006E661C" w:rsidP="00F64460">
            <w:pPr>
              <w:pStyle w:val="NoSpacing"/>
              <w:ind w:left="323"/>
              <w:jc w:val="both"/>
              <w:rPr>
                <w:rFonts w:ascii="Arial" w:hAnsi="Arial" w:cs="Arial"/>
                <w:sz w:val="22"/>
                <w:szCs w:val="22"/>
              </w:rPr>
            </w:pPr>
          </w:p>
          <w:p w14:paraId="691A2094" w14:textId="60209C0C" w:rsidR="006E661C" w:rsidRPr="006F44AE" w:rsidRDefault="006E661C" w:rsidP="00F64460">
            <w:pPr>
              <w:pStyle w:val="NoSpacing"/>
              <w:ind w:left="323"/>
              <w:jc w:val="both"/>
              <w:rPr>
                <w:rFonts w:ascii="Arial" w:hAnsi="Arial" w:cs="Arial"/>
                <w:sz w:val="22"/>
                <w:szCs w:val="22"/>
              </w:rPr>
            </w:pPr>
            <w:r w:rsidRPr="006F44AE">
              <w:rPr>
                <w:rFonts w:ascii="Arial" w:hAnsi="Arial" w:cs="Arial"/>
                <w:sz w:val="22"/>
                <w:szCs w:val="22"/>
              </w:rPr>
              <w:t xml:space="preserve">Our recommendation is that, in the absence of NRPF being lifted in its entirety during the pandemic, a concession is introduced, whereby if a person’s income has been disrupted due to the pandemic then they can apply to have the NRPF lifted while remaining in the </w:t>
            </w:r>
            <w:proofErr w:type="gramStart"/>
            <w:r w:rsidRPr="006F44AE">
              <w:rPr>
                <w:rFonts w:ascii="Arial" w:hAnsi="Arial" w:cs="Arial"/>
                <w:sz w:val="22"/>
                <w:szCs w:val="22"/>
              </w:rPr>
              <w:t>five year</w:t>
            </w:r>
            <w:proofErr w:type="gramEnd"/>
            <w:r w:rsidRPr="006F44AE">
              <w:rPr>
                <w:rFonts w:ascii="Arial" w:hAnsi="Arial" w:cs="Arial"/>
                <w:sz w:val="22"/>
                <w:szCs w:val="22"/>
              </w:rPr>
              <w:t xml:space="preserve"> route to settlement. </w:t>
            </w:r>
          </w:p>
          <w:p w14:paraId="5E0F5592" w14:textId="7C2F28C4" w:rsidR="006E661C" w:rsidRPr="006F44AE" w:rsidRDefault="006E661C" w:rsidP="006E661C">
            <w:pPr>
              <w:pStyle w:val="NoSpacing"/>
              <w:ind w:left="321"/>
              <w:jc w:val="both"/>
              <w:rPr>
                <w:rFonts w:ascii="Arial" w:hAnsi="Arial" w:cs="Arial"/>
                <w:sz w:val="22"/>
                <w:szCs w:val="22"/>
              </w:rPr>
            </w:pPr>
          </w:p>
          <w:bookmarkEnd w:id="3"/>
          <w:p w14:paraId="383BDC9E" w14:textId="77777777" w:rsidR="006E661C" w:rsidRPr="006F44AE" w:rsidRDefault="006E661C" w:rsidP="006E661C">
            <w:pPr>
              <w:pStyle w:val="NoSpacing"/>
              <w:ind w:left="321"/>
              <w:jc w:val="both"/>
              <w:rPr>
                <w:rFonts w:ascii="Arial" w:hAnsi="Arial" w:cs="Arial"/>
                <w:sz w:val="22"/>
                <w:szCs w:val="22"/>
              </w:rPr>
            </w:pPr>
          </w:p>
          <w:p w14:paraId="54477227" w14:textId="223E93FF" w:rsidR="006E661C" w:rsidRPr="006F44AE" w:rsidRDefault="006E661C" w:rsidP="006E661C">
            <w:pPr>
              <w:widowControl w:val="0"/>
              <w:spacing w:line="240" w:lineRule="auto"/>
              <w:jc w:val="both"/>
              <w:rPr>
                <w:b/>
              </w:rPr>
            </w:pPr>
          </w:p>
        </w:tc>
        <w:tc>
          <w:tcPr>
            <w:tcW w:w="7938" w:type="dxa"/>
            <w:shd w:val="clear" w:color="auto" w:fill="auto"/>
            <w:tcMar>
              <w:top w:w="100" w:type="dxa"/>
              <w:left w:w="100" w:type="dxa"/>
              <w:bottom w:w="100" w:type="dxa"/>
              <w:right w:w="100" w:type="dxa"/>
            </w:tcMar>
          </w:tcPr>
          <w:p w14:paraId="34409F77" w14:textId="38D5B305" w:rsidR="006E661C" w:rsidRPr="006F44AE" w:rsidRDefault="00E41C96" w:rsidP="00E41C96">
            <w:pPr>
              <w:pStyle w:val="TableParagraph"/>
              <w:ind w:left="22"/>
              <w:rPr>
                <w:rFonts w:ascii="Arial" w:hAnsi="Arial" w:cs="Arial"/>
                <w:color w:val="000000"/>
              </w:rPr>
            </w:pPr>
            <w:r w:rsidRPr="006F44AE">
              <w:rPr>
                <w:rFonts w:ascii="Arial" w:hAnsi="Arial" w:cs="Arial"/>
                <w:color w:val="000000"/>
              </w:rPr>
              <w:lastRenderedPageBreak/>
              <w:t xml:space="preserve">Separate discussion to be held with relevant team directly. </w:t>
            </w:r>
          </w:p>
        </w:tc>
      </w:tr>
      <w:tr w:rsidR="006E661C" w:rsidRPr="006F44AE" w14:paraId="542F345B" w14:textId="77777777" w:rsidTr="00940543">
        <w:tc>
          <w:tcPr>
            <w:tcW w:w="5519" w:type="dxa"/>
            <w:shd w:val="clear" w:color="auto" w:fill="auto"/>
            <w:tcMar>
              <w:top w:w="100" w:type="dxa"/>
              <w:left w:w="100" w:type="dxa"/>
              <w:bottom w:w="100" w:type="dxa"/>
              <w:right w:w="100" w:type="dxa"/>
            </w:tcMar>
          </w:tcPr>
          <w:p w14:paraId="190B7BFB" w14:textId="2952F2CC" w:rsidR="006E661C" w:rsidRPr="006F44AE" w:rsidRDefault="006E661C" w:rsidP="006E661C">
            <w:pPr>
              <w:widowControl w:val="0"/>
              <w:numPr>
                <w:ilvl w:val="0"/>
                <w:numId w:val="2"/>
              </w:numPr>
              <w:spacing w:line="240" w:lineRule="auto"/>
              <w:rPr>
                <w:b/>
              </w:rPr>
            </w:pPr>
            <w:r w:rsidRPr="006F44AE">
              <w:rPr>
                <w:b/>
              </w:rPr>
              <w:t>English language (</w:t>
            </w:r>
            <w:r w:rsidRPr="006F44AE">
              <w:rPr>
                <w:b/>
                <w:i/>
              </w:rPr>
              <w:t>issue 19 in ILPA and the Law Society’s table</w:t>
            </w:r>
            <w:r w:rsidRPr="006F44AE">
              <w:rPr>
                <w:b/>
              </w:rPr>
              <w:t>).</w:t>
            </w:r>
          </w:p>
          <w:p w14:paraId="68A0116A" w14:textId="77777777" w:rsidR="006E661C" w:rsidRPr="006F44AE" w:rsidRDefault="006E661C" w:rsidP="006E661C">
            <w:pPr>
              <w:widowControl w:val="0"/>
              <w:spacing w:line="240" w:lineRule="auto"/>
              <w:ind w:left="1080"/>
            </w:pPr>
          </w:p>
          <w:p w14:paraId="5FC9096A" w14:textId="30BB9607" w:rsidR="006E661C" w:rsidRPr="006F44AE" w:rsidRDefault="006E661C" w:rsidP="006E661C">
            <w:pPr>
              <w:widowControl w:val="0"/>
              <w:spacing w:line="240" w:lineRule="auto"/>
              <w:ind w:left="360"/>
              <w:jc w:val="both"/>
            </w:pPr>
            <w:r w:rsidRPr="006F44AE">
              <w:t xml:space="preserve">Overseas English tests continue to be effectively inaccessible in many countries despite the test providers theoretically having tests availability. Currently in Turkey there is a lockdown in effect at </w:t>
            </w:r>
            <w:r w:rsidRPr="006F44AE">
              <w:lastRenderedPageBreak/>
              <w:t xml:space="preserve">weekends. The only English tests available in Turkey are at the weekend and while there is an exemption for test takers, there is no exemption for taxi drivers or family members to accompany them. In Lebanon tests up until March have been cancelled but </w:t>
            </w:r>
            <w:proofErr w:type="gramStart"/>
            <w:r w:rsidRPr="006F44AE">
              <w:t>technically</w:t>
            </w:r>
            <w:proofErr w:type="gramEnd"/>
            <w:r w:rsidRPr="006F44AE">
              <w:t xml:space="preserve"> they are available, even though they have been impossible to book for two months.</w:t>
            </w:r>
          </w:p>
          <w:p w14:paraId="3E7B15A7" w14:textId="77777777" w:rsidR="006E661C" w:rsidRPr="006F44AE" w:rsidRDefault="006E661C" w:rsidP="006E661C">
            <w:pPr>
              <w:widowControl w:val="0"/>
              <w:spacing w:line="240" w:lineRule="auto"/>
              <w:ind w:left="720"/>
              <w:jc w:val="both"/>
            </w:pPr>
          </w:p>
          <w:p w14:paraId="12FA81F6" w14:textId="77777777" w:rsidR="006E661C" w:rsidRPr="006F44AE" w:rsidRDefault="006E661C" w:rsidP="006E661C">
            <w:pPr>
              <w:pStyle w:val="ListParagraph"/>
              <w:widowControl w:val="0"/>
              <w:numPr>
                <w:ilvl w:val="0"/>
                <w:numId w:val="7"/>
              </w:numPr>
              <w:spacing w:line="240" w:lineRule="auto"/>
              <w:jc w:val="both"/>
              <w:rPr>
                <w:b/>
              </w:rPr>
            </w:pPr>
            <w:r w:rsidRPr="006F44AE">
              <w:rPr>
                <w:b/>
              </w:rPr>
              <w:t>Could we look at waiving the requirement or imposing a requirement to test on arrival in the UK?</w:t>
            </w:r>
          </w:p>
          <w:p w14:paraId="2F586920" w14:textId="77777777" w:rsidR="006E661C" w:rsidRPr="006F44AE" w:rsidRDefault="006E661C" w:rsidP="006E661C">
            <w:pPr>
              <w:pStyle w:val="ListParagraph"/>
              <w:widowControl w:val="0"/>
              <w:spacing w:line="240" w:lineRule="auto"/>
              <w:jc w:val="both"/>
              <w:rPr>
                <w:b/>
              </w:rPr>
            </w:pPr>
          </w:p>
        </w:tc>
        <w:tc>
          <w:tcPr>
            <w:tcW w:w="7938" w:type="dxa"/>
            <w:shd w:val="clear" w:color="auto" w:fill="auto"/>
            <w:tcMar>
              <w:top w:w="100" w:type="dxa"/>
              <w:left w:w="100" w:type="dxa"/>
              <w:bottom w:w="100" w:type="dxa"/>
              <w:right w:w="100" w:type="dxa"/>
            </w:tcMar>
          </w:tcPr>
          <w:p w14:paraId="60B0477C" w14:textId="24E50080" w:rsidR="00743B9D" w:rsidRPr="007A01D1" w:rsidRDefault="00E41C96" w:rsidP="003F361E">
            <w:pPr>
              <w:spacing w:line="240" w:lineRule="auto"/>
            </w:pPr>
            <w:r w:rsidRPr="007A01D1">
              <w:rPr>
                <w:rFonts w:eastAsia="Times New Roman"/>
                <w:color w:val="0B0C0C"/>
                <w:lang w:val="en-GB"/>
              </w:rPr>
              <w:lastRenderedPageBreak/>
              <w:t xml:space="preserve">George has raised this with Policy and legal </w:t>
            </w:r>
            <w:r w:rsidR="004A7729" w:rsidRPr="007A01D1">
              <w:rPr>
                <w:rFonts w:eastAsia="Times New Roman"/>
                <w:color w:val="0B0C0C"/>
                <w:lang w:val="en-GB"/>
              </w:rPr>
              <w:t>advisors,</w:t>
            </w:r>
            <w:r w:rsidRPr="007A01D1">
              <w:rPr>
                <w:rFonts w:eastAsia="Times New Roman"/>
                <w:color w:val="0B0C0C"/>
                <w:lang w:val="en-GB"/>
              </w:rPr>
              <w:t xml:space="preserve"> and we hope to update you at the next </w:t>
            </w:r>
            <w:r w:rsidR="004A7729" w:rsidRPr="007A01D1">
              <w:rPr>
                <w:rFonts w:eastAsia="Times New Roman"/>
                <w:color w:val="0B0C0C"/>
                <w:lang w:val="en-GB"/>
              </w:rPr>
              <w:t>call</w:t>
            </w:r>
            <w:r w:rsidRPr="007A01D1">
              <w:rPr>
                <w:rFonts w:eastAsia="Times New Roman"/>
                <w:color w:val="0B0C0C"/>
                <w:lang w:val="en-GB"/>
              </w:rPr>
              <w:t xml:space="preserve">. </w:t>
            </w:r>
          </w:p>
          <w:p w14:paraId="65B3542F" w14:textId="77777777" w:rsidR="00743B9D" w:rsidRPr="006F44AE" w:rsidRDefault="00743B9D" w:rsidP="003F361E">
            <w:pPr>
              <w:spacing w:line="240" w:lineRule="auto"/>
              <w:rPr>
                <w:sz w:val="24"/>
                <w:szCs w:val="24"/>
              </w:rPr>
            </w:pPr>
          </w:p>
          <w:p w14:paraId="6DC5B149" w14:textId="4684AAEF" w:rsidR="003F361E" w:rsidRPr="006F44AE" w:rsidRDefault="003F361E" w:rsidP="00E41C96">
            <w:pPr>
              <w:spacing w:line="240" w:lineRule="auto"/>
              <w:rPr>
                <w:rFonts w:eastAsia="Times New Roman"/>
                <w:color w:val="0B0C0C"/>
                <w:sz w:val="24"/>
                <w:szCs w:val="29"/>
                <w:lang w:val="en-GB"/>
              </w:rPr>
            </w:pPr>
          </w:p>
        </w:tc>
      </w:tr>
      <w:tr w:rsidR="006E661C" w:rsidRPr="006F44AE" w14:paraId="3579962F" w14:textId="77777777" w:rsidTr="00940543">
        <w:tc>
          <w:tcPr>
            <w:tcW w:w="5519" w:type="dxa"/>
            <w:shd w:val="clear" w:color="auto" w:fill="auto"/>
            <w:tcMar>
              <w:top w:w="100" w:type="dxa"/>
              <w:left w:w="100" w:type="dxa"/>
              <w:bottom w:w="100" w:type="dxa"/>
              <w:right w:w="100" w:type="dxa"/>
            </w:tcMar>
          </w:tcPr>
          <w:p w14:paraId="0BD2CBA7" w14:textId="23D7B42C" w:rsidR="006E661C" w:rsidRPr="006F44AE" w:rsidRDefault="006E661C" w:rsidP="006E661C">
            <w:pPr>
              <w:widowControl w:val="0"/>
              <w:numPr>
                <w:ilvl w:val="0"/>
                <w:numId w:val="2"/>
              </w:numPr>
              <w:spacing w:line="240" w:lineRule="auto"/>
              <w:jc w:val="both"/>
              <w:rPr>
                <w:b/>
              </w:rPr>
            </w:pPr>
            <w:r w:rsidRPr="006F44AE">
              <w:rPr>
                <w:b/>
              </w:rPr>
              <w:t xml:space="preserve">Sponsored worker </w:t>
            </w:r>
            <w:proofErr w:type="gramStart"/>
            <w:r w:rsidRPr="006F44AE">
              <w:rPr>
                <w:b/>
              </w:rPr>
              <w:t>change</w:t>
            </w:r>
            <w:proofErr w:type="gramEnd"/>
            <w:r w:rsidRPr="006F44AE">
              <w:rPr>
                <w:b/>
              </w:rPr>
              <w:t xml:space="preserve"> of circumstances (</w:t>
            </w:r>
            <w:r w:rsidRPr="006F44AE">
              <w:rPr>
                <w:b/>
                <w:i/>
              </w:rPr>
              <w:t>issue 21 in ILPA and the Law Society’s table</w:t>
            </w:r>
            <w:r w:rsidRPr="006F44AE">
              <w:rPr>
                <w:b/>
              </w:rPr>
              <w:t>).</w:t>
            </w:r>
          </w:p>
          <w:p w14:paraId="632B8A60" w14:textId="77777777" w:rsidR="006E661C" w:rsidRPr="006F44AE" w:rsidRDefault="006E661C" w:rsidP="006E661C">
            <w:pPr>
              <w:widowControl w:val="0"/>
              <w:spacing w:line="240" w:lineRule="auto"/>
              <w:jc w:val="both"/>
              <w:rPr>
                <w:b/>
              </w:rPr>
            </w:pPr>
          </w:p>
          <w:p w14:paraId="6C95C88E" w14:textId="77777777" w:rsidR="006E661C" w:rsidRPr="006F44AE" w:rsidRDefault="006E661C" w:rsidP="006E661C">
            <w:pPr>
              <w:widowControl w:val="0"/>
              <w:spacing w:line="240" w:lineRule="auto"/>
              <w:ind w:left="360"/>
              <w:jc w:val="both"/>
            </w:pPr>
            <w:r w:rsidRPr="006F44AE">
              <w:t xml:space="preserve">The current Home Office guidance currently allows unpaid leave for more than four weeks. We therefore recommend that this is extended to </w:t>
            </w:r>
            <w:proofErr w:type="gramStart"/>
            <w:r w:rsidRPr="006F44AE">
              <w:t>take into account</w:t>
            </w:r>
            <w:proofErr w:type="gramEnd"/>
            <w:r w:rsidRPr="006F44AE">
              <w:t xml:space="preserve"> other measures which sponsors are having to take in response to the coronavirus pandemic such as:</w:t>
            </w:r>
          </w:p>
          <w:p w14:paraId="1BAA2749" w14:textId="77777777" w:rsidR="006E661C" w:rsidRPr="006F44AE" w:rsidRDefault="006E661C" w:rsidP="006E661C">
            <w:pPr>
              <w:widowControl w:val="0"/>
              <w:spacing w:line="240" w:lineRule="auto"/>
              <w:ind w:left="360"/>
              <w:jc w:val="both"/>
            </w:pPr>
          </w:p>
          <w:p w14:paraId="5C0DE210" w14:textId="1BA658E8" w:rsidR="006E661C" w:rsidRPr="006F44AE" w:rsidRDefault="006E661C" w:rsidP="006E661C">
            <w:pPr>
              <w:pStyle w:val="ListParagraph"/>
              <w:widowControl w:val="0"/>
              <w:numPr>
                <w:ilvl w:val="0"/>
                <w:numId w:val="7"/>
              </w:numPr>
              <w:spacing w:line="240" w:lineRule="auto"/>
              <w:jc w:val="both"/>
            </w:pPr>
            <w:r w:rsidRPr="006F44AE">
              <w:t xml:space="preserve">Allowing workers to change roles and work under a different SOC Code whilst the business allocates resources to try to meet business needs during/as a result of the crisis. </w:t>
            </w:r>
          </w:p>
          <w:p w14:paraId="57AD6EA2" w14:textId="77777777" w:rsidR="006E661C" w:rsidRPr="006F44AE" w:rsidRDefault="006E661C" w:rsidP="006E661C">
            <w:pPr>
              <w:pStyle w:val="ListParagraph"/>
              <w:widowControl w:val="0"/>
              <w:spacing w:line="240" w:lineRule="auto"/>
              <w:jc w:val="both"/>
            </w:pPr>
          </w:p>
          <w:p w14:paraId="6A0208E5" w14:textId="68673FF7" w:rsidR="006E661C" w:rsidRPr="006F44AE" w:rsidRDefault="006E661C" w:rsidP="006E661C">
            <w:pPr>
              <w:pStyle w:val="ListParagraph"/>
              <w:widowControl w:val="0"/>
              <w:numPr>
                <w:ilvl w:val="0"/>
                <w:numId w:val="7"/>
              </w:numPr>
              <w:spacing w:line="240" w:lineRule="auto"/>
              <w:jc w:val="both"/>
            </w:pPr>
            <w:r w:rsidRPr="006F44AE">
              <w:t>Suspending curtailment of leave where sponsorship is terminated to allow workers longer time to try and find alternative sponsorship.</w:t>
            </w:r>
          </w:p>
          <w:p w14:paraId="57723631" w14:textId="337A1917" w:rsidR="006E661C" w:rsidRPr="006F44AE" w:rsidRDefault="006E661C" w:rsidP="006E661C">
            <w:pPr>
              <w:widowControl w:val="0"/>
              <w:spacing w:line="240" w:lineRule="auto"/>
              <w:jc w:val="both"/>
              <w:rPr>
                <w:b/>
              </w:rPr>
            </w:pPr>
          </w:p>
        </w:tc>
        <w:tc>
          <w:tcPr>
            <w:tcW w:w="7938" w:type="dxa"/>
            <w:shd w:val="clear" w:color="auto" w:fill="auto"/>
            <w:tcMar>
              <w:top w:w="100" w:type="dxa"/>
              <w:left w:w="100" w:type="dxa"/>
              <w:bottom w:w="100" w:type="dxa"/>
              <w:right w:w="100" w:type="dxa"/>
            </w:tcMar>
          </w:tcPr>
          <w:p w14:paraId="129EA0EC" w14:textId="77777777" w:rsidR="00940543" w:rsidRPr="006F44AE" w:rsidRDefault="00940543" w:rsidP="006E661C"/>
          <w:p w14:paraId="0FCA258A" w14:textId="454745E8" w:rsidR="006E661C" w:rsidRPr="006F44AE" w:rsidRDefault="0028130E" w:rsidP="0028130E">
            <w:r w:rsidRPr="006F44AE">
              <w:t>Please see the most recent guidance for Sponsors:</w:t>
            </w:r>
          </w:p>
          <w:p w14:paraId="5395D0D6" w14:textId="51106E5A" w:rsidR="0028130E" w:rsidRPr="006F44AE" w:rsidRDefault="00F70210" w:rsidP="0028130E">
            <w:hyperlink r:id="rId12" w:history="1">
              <w:r w:rsidR="0028130E" w:rsidRPr="006F44AE">
                <w:rPr>
                  <w:rStyle w:val="Hyperlink"/>
                </w:rPr>
                <w:t>https://www.gov.uk/government/publications/coronavirus-covid-19-student-sponsors-migrants-and-short-term-students</w:t>
              </w:r>
            </w:hyperlink>
          </w:p>
        </w:tc>
      </w:tr>
      <w:tr w:rsidR="006E661C" w:rsidRPr="006F44AE" w14:paraId="64CEEB75" w14:textId="77777777" w:rsidTr="00940543">
        <w:tc>
          <w:tcPr>
            <w:tcW w:w="5519" w:type="dxa"/>
            <w:shd w:val="clear" w:color="auto" w:fill="auto"/>
            <w:tcMar>
              <w:top w:w="100" w:type="dxa"/>
              <w:left w:w="100" w:type="dxa"/>
              <w:bottom w:w="100" w:type="dxa"/>
              <w:right w:w="100" w:type="dxa"/>
            </w:tcMar>
          </w:tcPr>
          <w:p w14:paraId="6BC6FD87" w14:textId="473B4EBB" w:rsidR="006E661C" w:rsidRPr="006F44AE" w:rsidRDefault="006E661C" w:rsidP="006E661C">
            <w:pPr>
              <w:widowControl w:val="0"/>
              <w:numPr>
                <w:ilvl w:val="0"/>
                <w:numId w:val="2"/>
              </w:numPr>
              <w:spacing w:line="240" w:lineRule="auto"/>
              <w:jc w:val="both"/>
              <w:rPr>
                <w:b/>
              </w:rPr>
            </w:pPr>
            <w:r w:rsidRPr="006F44AE">
              <w:rPr>
                <w:b/>
              </w:rPr>
              <w:lastRenderedPageBreak/>
              <w:t>Applicants unable to attend VACs to have their biometrics taken (</w:t>
            </w:r>
            <w:r w:rsidRPr="006F44AE">
              <w:rPr>
                <w:b/>
                <w:i/>
              </w:rPr>
              <w:t>issue 23 in ILPA and the Law Society’s table</w:t>
            </w:r>
            <w:r w:rsidRPr="006F44AE">
              <w:rPr>
                <w:b/>
              </w:rPr>
              <w:t>).</w:t>
            </w:r>
          </w:p>
          <w:p w14:paraId="2F693CA3" w14:textId="77777777" w:rsidR="006E661C" w:rsidRPr="006F44AE" w:rsidRDefault="006E661C" w:rsidP="006E661C">
            <w:pPr>
              <w:widowControl w:val="0"/>
              <w:spacing w:line="240" w:lineRule="auto"/>
              <w:jc w:val="both"/>
              <w:rPr>
                <w:b/>
              </w:rPr>
            </w:pPr>
          </w:p>
          <w:p w14:paraId="7348147A" w14:textId="1205BBAD" w:rsidR="006E661C" w:rsidRPr="006F44AE" w:rsidRDefault="006E661C" w:rsidP="006E661C">
            <w:pPr>
              <w:widowControl w:val="0"/>
              <w:spacing w:line="240" w:lineRule="auto"/>
              <w:ind w:left="360"/>
              <w:jc w:val="both"/>
            </w:pPr>
            <w:r w:rsidRPr="006F44AE">
              <w:t>We would be grateful for an update on UKVI’s strategy in relation to UKVCAS appointment shortages and the IDV app.</w:t>
            </w:r>
          </w:p>
          <w:p w14:paraId="11E1BAB7" w14:textId="6E83C652" w:rsidR="006E661C" w:rsidRPr="006F44AE" w:rsidRDefault="006E661C" w:rsidP="006E661C">
            <w:pPr>
              <w:widowControl w:val="0"/>
              <w:spacing w:line="240" w:lineRule="auto"/>
              <w:jc w:val="both"/>
              <w:rPr>
                <w:b/>
              </w:rPr>
            </w:pPr>
          </w:p>
        </w:tc>
        <w:tc>
          <w:tcPr>
            <w:tcW w:w="7938" w:type="dxa"/>
            <w:shd w:val="clear" w:color="auto" w:fill="auto"/>
            <w:tcMar>
              <w:top w:w="100" w:type="dxa"/>
              <w:left w:w="100" w:type="dxa"/>
              <w:bottom w:w="100" w:type="dxa"/>
              <w:right w:w="100" w:type="dxa"/>
            </w:tcMar>
          </w:tcPr>
          <w:p w14:paraId="7C1A5085" w14:textId="77777777" w:rsidR="006E661C" w:rsidRPr="007A01D1" w:rsidRDefault="006E661C" w:rsidP="006E661C">
            <w:pPr>
              <w:spacing w:after="5" w:line="249" w:lineRule="auto"/>
              <w:ind w:left="-5" w:hanging="10"/>
            </w:pPr>
            <w:r w:rsidRPr="007A01D1">
              <w:t xml:space="preserve">Most UK Visa Application Centres (VACs) have resumed services where local restrictions allow. </w:t>
            </w:r>
          </w:p>
          <w:p w14:paraId="188FE652" w14:textId="77777777" w:rsidR="006E661C" w:rsidRPr="007A01D1" w:rsidRDefault="006E661C" w:rsidP="006E661C">
            <w:pPr>
              <w:spacing w:after="5" w:line="249" w:lineRule="auto"/>
              <w:ind w:left="-5" w:hanging="10"/>
            </w:pPr>
          </w:p>
          <w:p w14:paraId="63838FC2" w14:textId="77777777" w:rsidR="006E661C" w:rsidRPr="007A01D1" w:rsidRDefault="006E661C" w:rsidP="006E661C">
            <w:pPr>
              <w:spacing w:after="5" w:line="249" w:lineRule="auto"/>
              <w:ind w:left="-5" w:hanging="10"/>
            </w:pPr>
            <w:r w:rsidRPr="007A01D1">
              <w:t xml:space="preserve">Priority and Super Priority services are only available in some locations. If available, you’ll be able to purchase these services when booking your appointment. </w:t>
            </w:r>
          </w:p>
          <w:p w14:paraId="492EF99D" w14:textId="77777777" w:rsidR="006E661C" w:rsidRPr="007A01D1" w:rsidRDefault="006E661C" w:rsidP="006E661C">
            <w:pPr>
              <w:spacing w:after="5" w:line="249" w:lineRule="auto"/>
              <w:ind w:left="-5" w:hanging="10"/>
            </w:pPr>
          </w:p>
          <w:p w14:paraId="2A2AEAB5" w14:textId="77777777" w:rsidR="006E661C" w:rsidRPr="006F44AE" w:rsidRDefault="006E661C" w:rsidP="006E661C">
            <w:pPr>
              <w:spacing w:after="5" w:line="249" w:lineRule="auto"/>
              <w:ind w:left="-5" w:hanging="10"/>
              <w:rPr>
                <w:szCs w:val="24"/>
              </w:rPr>
            </w:pPr>
            <w:r w:rsidRPr="006F44AE">
              <w:rPr>
                <w:szCs w:val="24"/>
              </w:rPr>
              <w:t xml:space="preserve">For more information, and for updates to the status of VACs, including opening times in your country, check with: </w:t>
            </w:r>
          </w:p>
          <w:p w14:paraId="4B7AE018" w14:textId="77777777" w:rsidR="006E661C" w:rsidRPr="006F44AE" w:rsidRDefault="006E661C" w:rsidP="006E661C">
            <w:pPr>
              <w:spacing w:after="5" w:line="249" w:lineRule="auto"/>
              <w:ind w:left="-5" w:hanging="10"/>
              <w:rPr>
                <w:szCs w:val="24"/>
              </w:rPr>
            </w:pPr>
          </w:p>
          <w:p w14:paraId="43F3D75A" w14:textId="77777777" w:rsidR="006E661C" w:rsidRPr="006F44AE" w:rsidRDefault="00F70210" w:rsidP="006E661C">
            <w:pPr>
              <w:numPr>
                <w:ilvl w:val="0"/>
                <w:numId w:val="21"/>
              </w:numPr>
              <w:spacing w:after="5" w:line="249" w:lineRule="auto"/>
              <w:rPr>
                <w:szCs w:val="24"/>
              </w:rPr>
            </w:pPr>
            <w:hyperlink r:id="rId13" w:history="1">
              <w:r w:rsidR="006E661C" w:rsidRPr="006F44AE">
                <w:rPr>
                  <w:rStyle w:val="Hyperlink"/>
                  <w:szCs w:val="24"/>
                </w:rPr>
                <w:t>TLS contact</w:t>
              </w:r>
            </w:hyperlink>
            <w:r w:rsidR="006E661C" w:rsidRPr="006F44AE">
              <w:rPr>
                <w:szCs w:val="24"/>
              </w:rPr>
              <w:t> if you’re in Europe, Africa and parts of the Middle East</w:t>
            </w:r>
          </w:p>
          <w:p w14:paraId="7C998157" w14:textId="77777777" w:rsidR="006E661C" w:rsidRPr="006F44AE" w:rsidRDefault="00F70210" w:rsidP="006E661C">
            <w:pPr>
              <w:numPr>
                <w:ilvl w:val="0"/>
                <w:numId w:val="21"/>
              </w:numPr>
              <w:spacing w:after="5" w:line="249" w:lineRule="auto"/>
              <w:rPr>
                <w:szCs w:val="24"/>
              </w:rPr>
            </w:pPr>
            <w:hyperlink r:id="rId14" w:history="1">
              <w:r w:rsidR="006E661C" w:rsidRPr="006F44AE">
                <w:rPr>
                  <w:rStyle w:val="Hyperlink"/>
                  <w:szCs w:val="24"/>
                </w:rPr>
                <w:t>VFS global</w:t>
              </w:r>
            </w:hyperlink>
            <w:r w:rsidR="006E661C" w:rsidRPr="006F44AE">
              <w:rPr>
                <w:szCs w:val="24"/>
              </w:rPr>
              <w:t> for all other countries</w:t>
            </w:r>
          </w:p>
          <w:p w14:paraId="2803EB28" w14:textId="77777777" w:rsidR="006E661C" w:rsidRPr="006F44AE" w:rsidRDefault="006E661C" w:rsidP="006E661C">
            <w:pPr>
              <w:spacing w:after="5" w:line="249" w:lineRule="auto"/>
              <w:ind w:left="-5" w:hanging="10"/>
              <w:rPr>
                <w:szCs w:val="24"/>
              </w:rPr>
            </w:pPr>
          </w:p>
          <w:p w14:paraId="39611D72" w14:textId="77777777" w:rsidR="006E661C" w:rsidRPr="006F44AE" w:rsidRDefault="006E661C" w:rsidP="006E661C">
            <w:pPr>
              <w:spacing w:after="5" w:line="249" w:lineRule="auto"/>
              <w:ind w:left="-5" w:hanging="10"/>
              <w:rPr>
                <w:szCs w:val="24"/>
              </w:rPr>
            </w:pPr>
            <w:r w:rsidRPr="006F44AE">
              <w:rPr>
                <w:szCs w:val="24"/>
              </w:rPr>
              <w:t>Ongoing global restrictions mean some UKVI services will remain closed. Where services are resuming, existing customers will be contacted.</w:t>
            </w:r>
          </w:p>
          <w:p w14:paraId="5DB375EE" w14:textId="77777777" w:rsidR="006E661C" w:rsidRPr="006F44AE" w:rsidRDefault="006E661C" w:rsidP="006E661C">
            <w:pPr>
              <w:spacing w:after="5" w:line="249" w:lineRule="auto"/>
              <w:ind w:left="-5" w:hanging="10"/>
              <w:rPr>
                <w:szCs w:val="24"/>
              </w:rPr>
            </w:pPr>
          </w:p>
          <w:p w14:paraId="48C00B4B" w14:textId="77777777" w:rsidR="006E661C" w:rsidRPr="006F44AE" w:rsidRDefault="006E661C" w:rsidP="006E661C">
            <w:pPr>
              <w:spacing w:after="5" w:line="249" w:lineRule="auto"/>
              <w:ind w:left="-5" w:hanging="10"/>
              <w:rPr>
                <w:szCs w:val="24"/>
              </w:rPr>
            </w:pPr>
            <w:r w:rsidRPr="006F44AE">
              <w:rPr>
                <w:szCs w:val="24"/>
              </w:rPr>
              <w:t xml:space="preserve">You can apply for a visit visa from any UK VAC. You should apply for all other UK visas from the country you’re living in. </w:t>
            </w:r>
          </w:p>
          <w:p w14:paraId="0A7E224D" w14:textId="77777777" w:rsidR="006E661C" w:rsidRPr="006F44AE" w:rsidRDefault="006E661C" w:rsidP="006E661C">
            <w:pPr>
              <w:spacing w:after="5" w:line="249" w:lineRule="auto"/>
              <w:ind w:left="-5" w:hanging="10"/>
              <w:rPr>
                <w:szCs w:val="24"/>
              </w:rPr>
            </w:pPr>
          </w:p>
          <w:p w14:paraId="23F6A696" w14:textId="77777777" w:rsidR="006E661C" w:rsidRPr="006F44AE" w:rsidRDefault="006E661C" w:rsidP="006E661C">
            <w:pPr>
              <w:spacing w:after="5" w:line="249" w:lineRule="auto"/>
              <w:ind w:left="-5" w:hanging="10"/>
              <w:rPr>
                <w:szCs w:val="24"/>
              </w:rPr>
            </w:pPr>
            <w:r w:rsidRPr="006F44AE">
              <w:rPr>
                <w:szCs w:val="24"/>
              </w:rPr>
              <w:t>If your VAC is closed due to coronavirus restrictions, you can </w:t>
            </w:r>
            <w:hyperlink r:id="rId15" w:history="1">
              <w:r w:rsidRPr="006F44AE">
                <w:rPr>
                  <w:rStyle w:val="Hyperlink"/>
                  <w:szCs w:val="24"/>
                </w:rPr>
                <w:t>apply online and select a VAC in another country worldwide</w:t>
              </w:r>
            </w:hyperlink>
            <w:r w:rsidRPr="006F44AE">
              <w:rPr>
                <w:szCs w:val="24"/>
              </w:rPr>
              <w:t xml:space="preserve"> to submit your application and biometrics. You’ll need to make sure you’re permitted to travel to that country beforehand. </w:t>
            </w:r>
          </w:p>
          <w:p w14:paraId="48618E53" w14:textId="77777777" w:rsidR="006E661C" w:rsidRPr="006F44AE" w:rsidRDefault="006E661C" w:rsidP="006E661C">
            <w:pPr>
              <w:spacing w:after="5" w:line="249" w:lineRule="auto"/>
              <w:ind w:left="-5" w:hanging="10"/>
              <w:rPr>
                <w:szCs w:val="24"/>
              </w:rPr>
            </w:pPr>
          </w:p>
          <w:p w14:paraId="619DEB14" w14:textId="77777777" w:rsidR="006E661C" w:rsidRPr="006F44AE" w:rsidRDefault="006E661C" w:rsidP="006E661C">
            <w:pPr>
              <w:spacing w:after="5" w:line="249" w:lineRule="auto"/>
              <w:ind w:left="-5" w:hanging="10"/>
              <w:rPr>
                <w:szCs w:val="24"/>
              </w:rPr>
            </w:pPr>
            <w:r w:rsidRPr="006F44AE">
              <w:rPr>
                <w:szCs w:val="24"/>
              </w:rPr>
              <w:t>You’ll be able to make any type of UK visa application. You must select the country where you would like to submit your biometrics at the start of your application.</w:t>
            </w:r>
          </w:p>
          <w:p w14:paraId="025051CF" w14:textId="77777777" w:rsidR="006E661C" w:rsidRPr="006F44AE" w:rsidRDefault="006E661C" w:rsidP="006E661C">
            <w:pPr>
              <w:spacing w:after="5" w:line="249" w:lineRule="auto"/>
              <w:ind w:left="-5" w:hanging="10"/>
              <w:rPr>
                <w:szCs w:val="24"/>
              </w:rPr>
            </w:pPr>
            <w:r w:rsidRPr="006F44AE">
              <w:rPr>
                <w:szCs w:val="24"/>
              </w:rPr>
              <w:t xml:space="preserve">This concession has been extended to 31 March 2021. </w:t>
            </w:r>
          </w:p>
          <w:p w14:paraId="5E5F291F" w14:textId="77777777" w:rsidR="006E661C" w:rsidRPr="006F44AE" w:rsidRDefault="006E661C" w:rsidP="006E661C">
            <w:pPr>
              <w:spacing w:after="5" w:line="249" w:lineRule="auto"/>
              <w:ind w:left="-5" w:hanging="10"/>
              <w:rPr>
                <w:szCs w:val="24"/>
              </w:rPr>
            </w:pPr>
          </w:p>
          <w:p w14:paraId="03B96994" w14:textId="77777777" w:rsidR="006E661C" w:rsidRPr="006F44AE" w:rsidRDefault="006E661C" w:rsidP="006E661C">
            <w:pPr>
              <w:spacing w:after="5" w:line="249" w:lineRule="auto"/>
              <w:ind w:left="-5" w:hanging="10"/>
              <w:rPr>
                <w:szCs w:val="24"/>
              </w:rPr>
            </w:pPr>
            <w:r w:rsidRPr="006F44AE">
              <w:rPr>
                <w:szCs w:val="24"/>
              </w:rPr>
              <w:t xml:space="preserve">If you’ve already submitted your application through Access UK and now intend to submit your new application at a different VAC from the one selected in that application, you’ll need to make a new application and select the VAC where you’ll submit your application. </w:t>
            </w:r>
          </w:p>
          <w:p w14:paraId="7B13F8AD" w14:textId="77777777" w:rsidR="006E661C" w:rsidRPr="006F44AE" w:rsidRDefault="006E661C" w:rsidP="006E661C">
            <w:pPr>
              <w:spacing w:after="5" w:line="249" w:lineRule="auto"/>
              <w:ind w:left="-5" w:hanging="10"/>
              <w:rPr>
                <w:szCs w:val="24"/>
              </w:rPr>
            </w:pPr>
          </w:p>
          <w:p w14:paraId="56F7C20A" w14:textId="6EE806B7" w:rsidR="00E82478" w:rsidRPr="00E82478" w:rsidRDefault="006E661C" w:rsidP="00E82478">
            <w:pPr>
              <w:spacing w:after="5" w:line="249" w:lineRule="auto"/>
              <w:ind w:left="-5" w:hanging="10"/>
              <w:rPr>
                <w:szCs w:val="24"/>
              </w:rPr>
            </w:pPr>
            <w:r w:rsidRPr="006F44AE">
              <w:rPr>
                <w:szCs w:val="24"/>
              </w:rPr>
              <w:t>You’ll need to pay the fee associated with your new application and </w:t>
            </w:r>
            <w:hyperlink r:id="rId16" w:history="1">
              <w:r w:rsidRPr="006F44AE">
                <w:rPr>
                  <w:rStyle w:val="Hyperlink"/>
                  <w:szCs w:val="24"/>
                </w:rPr>
                <w:t>request a refund for your earlier application</w:t>
              </w:r>
            </w:hyperlink>
            <w:r w:rsidRPr="006F44AE">
              <w:rPr>
                <w:szCs w:val="24"/>
              </w:rPr>
              <w:t>.</w:t>
            </w:r>
          </w:p>
          <w:p w14:paraId="1F7E7D6B" w14:textId="79DBD2F2" w:rsidR="006E661C" w:rsidRPr="00E82478" w:rsidRDefault="006E661C" w:rsidP="006E661C">
            <w:pPr>
              <w:pStyle w:val="Heading2"/>
              <w:rPr>
                <w:rFonts w:eastAsia="Calibri"/>
                <w:sz w:val="22"/>
                <w:szCs w:val="22"/>
                <w:u w:val="single"/>
              </w:rPr>
            </w:pPr>
            <w:r w:rsidRPr="00E82478">
              <w:rPr>
                <w:rFonts w:eastAsia="Calibri"/>
                <w:sz w:val="22"/>
                <w:szCs w:val="22"/>
                <w:u w:val="single"/>
              </w:rPr>
              <w:lastRenderedPageBreak/>
              <w:t>Biometric enrolment locations</w:t>
            </w:r>
          </w:p>
          <w:p w14:paraId="29DB482A" w14:textId="77777777" w:rsidR="006E661C" w:rsidRPr="00E82478" w:rsidRDefault="006E661C" w:rsidP="006E661C">
            <w:r w:rsidRPr="00E82478">
              <w:t xml:space="preserve">Most UK Visa and Citizenship Application Centres (UKVCAS) have now reopened. Customers can check which UKVCAS </w:t>
            </w:r>
            <w:proofErr w:type="spellStart"/>
            <w:r w:rsidRPr="00E82478">
              <w:t>centres</w:t>
            </w:r>
            <w:proofErr w:type="spellEnd"/>
            <w:r w:rsidRPr="00E82478">
              <w:t xml:space="preserve"> are open at: </w:t>
            </w:r>
          </w:p>
          <w:p w14:paraId="5C6C4BD2" w14:textId="77777777" w:rsidR="006E661C" w:rsidRPr="006F44AE" w:rsidRDefault="006E661C" w:rsidP="006E661C">
            <w:pPr>
              <w:rPr>
                <w:szCs w:val="24"/>
              </w:rPr>
            </w:pPr>
          </w:p>
          <w:p w14:paraId="41A5ABF4" w14:textId="77777777" w:rsidR="006E661C" w:rsidRPr="006F44AE" w:rsidRDefault="00F70210" w:rsidP="006E661C">
            <w:hyperlink r:id="rId17" w:history="1">
              <w:r w:rsidR="006E661C" w:rsidRPr="006F44AE">
                <w:rPr>
                  <w:rStyle w:val="Hyperlink"/>
                </w:rPr>
                <w:t>https://www.gov.uk/ukvcas</w:t>
              </w:r>
            </w:hyperlink>
            <w:r w:rsidR="006E661C" w:rsidRPr="006F44AE">
              <w:t xml:space="preserve"> </w:t>
            </w:r>
          </w:p>
          <w:p w14:paraId="0BC2825D" w14:textId="77777777" w:rsidR="006E661C" w:rsidRPr="006F44AE" w:rsidRDefault="006E661C" w:rsidP="006E661C">
            <w:pPr>
              <w:rPr>
                <w:szCs w:val="24"/>
              </w:rPr>
            </w:pPr>
          </w:p>
          <w:p w14:paraId="400FF1A4" w14:textId="77777777" w:rsidR="006E661C" w:rsidRPr="006F44AE" w:rsidRDefault="006E661C" w:rsidP="006E661C">
            <w:pPr>
              <w:rPr>
                <w:szCs w:val="24"/>
              </w:rPr>
            </w:pPr>
            <w:r w:rsidRPr="006F44AE">
              <w:rPr>
                <w:szCs w:val="24"/>
              </w:rPr>
              <w:t xml:space="preserve">As our application </w:t>
            </w:r>
            <w:proofErr w:type="spellStart"/>
            <w:r w:rsidRPr="006F44AE">
              <w:rPr>
                <w:szCs w:val="24"/>
              </w:rPr>
              <w:t>centres</w:t>
            </w:r>
            <w:proofErr w:type="spellEnd"/>
            <w:r w:rsidRPr="006F44AE">
              <w:rPr>
                <w:szCs w:val="24"/>
              </w:rPr>
              <w:t xml:space="preserve"> re-open our commercial partner will be contacting customers to arrange new appointments. If your appointment was cancelled because of COVID-19, you’ll be sent an email asking you to make another appointment. If the available service points are too far away, you can wait until a closer one opens before making your new appointment. This will not affect your immigration status.</w:t>
            </w:r>
          </w:p>
          <w:p w14:paraId="3EB601D6" w14:textId="77777777" w:rsidR="006E661C" w:rsidRPr="006F44AE" w:rsidRDefault="006E661C" w:rsidP="006E661C">
            <w:pPr>
              <w:rPr>
                <w:szCs w:val="24"/>
              </w:rPr>
            </w:pPr>
          </w:p>
          <w:p w14:paraId="67713FBD" w14:textId="77777777" w:rsidR="006E661C" w:rsidRPr="006F44AE" w:rsidRDefault="006E661C" w:rsidP="006E661C">
            <w:pPr>
              <w:rPr>
                <w:szCs w:val="24"/>
              </w:rPr>
            </w:pPr>
            <w:r w:rsidRPr="006F44AE">
              <w:rPr>
                <w:szCs w:val="24"/>
              </w:rPr>
              <w:t xml:space="preserve">If you had not made an appointment before UKVCAS services were suspended on 27 March, you cannot currently book an appointment at a UKVCAS service point as appointments are only being released initially to those whose earlier appointments were cancelled. However, you must still create a UKVCAS account once you complete your online application; this will allow us to contact you when new appointments become available. </w:t>
            </w:r>
          </w:p>
          <w:p w14:paraId="7EA71D0F" w14:textId="77777777" w:rsidR="006E661C" w:rsidRPr="006F44AE" w:rsidRDefault="006E661C" w:rsidP="006E661C">
            <w:pPr>
              <w:rPr>
                <w:szCs w:val="24"/>
              </w:rPr>
            </w:pPr>
          </w:p>
          <w:p w14:paraId="6C12BBC3" w14:textId="77777777" w:rsidR="006E661C" w:rsidRPr="006F44AE" w:rsidRDefault="006E661C" w:rsidP="006E661C">
            <w:pPr>
              <w:rPr>
                <w:szCs w:val="24"/>
              </w:rPr>
            </w:pPr>
            <w:r w:rsidRPr="006F44AE">
              <w:rPr>
                <w:szCs w:val="24"/>
              </w:rPr>
              <w:t>If you feel unwell, or a member of your household has recently felt unwell, before attending your appointment please check Public Health England Coronavirus (COVID-19) advice on when you should stay at home, on GOV.UK at:</w:t>
            </w:r>
          </w:p>
          <w:p w14:paraId="25BA16A9" w14:textId="77777777" w:rsidR="006E661C" w:rsidRPr="006F44AE" w:rsidRDefault="006E661C" w:rsidP="006E661C">
            <w:pPr>
              <w:rPr>
                <w:szCs w:val="24"/>
              </w:rPr>
            </w:pPr>
          </w:p>
          <w:p w14:paraId="6F041DBE" w14:textId="77777777" w:rsidR="006E661C" w:rsidRPr="006F44AE" w:rsidRDefault="00F70210" w:rsidP="006E661C">
            <w:pPr>
              <w:rPr>
                <w:szCs w:val="24"/>
              </w:rPr>
            </w:pPr>
            <w:hyperlink r:id="rId18" w:history="1">
              <w:r w:rsidR="006E661C" w:rsidRPr="006F44AE">
                <w:rPr>
                  <w:rStyle w:val="Hyperlink"/>
                </w:rPr>
                <w:t>https://www.gov.uk/government/organisations/public-health-england</w:t>
              </w:r>
            </w:hyperlink>
          </w:p>
          <w:p w14:paraId="0BF605C0" w14:textId="77777777" w:rsidR="006E661C" w:rsidRPr="006F44AE" w:rsidRDefault="006E661C" w:rsidP="006E661C">
            <w:pPr>
              <w:rPr>
                <w:szCs w:val="24"/>
              </w:rPr>
            </w:pPr>
          </w:p>
          <w:p w14:paraId="784756D0" w14:textId="77777777" w:rsidR="006E661C" w:rsidRPr="006F44AE" w:rsidRDefault="006E661C" w:rsidP="006E661C">
            <w:pPr>
              <w:rPr>
                <w:szCs w:val="24"/>
                <w:shd w:val="clear" w:color="auto" w:fill="FFFFFF"/>
              </w:rPr>
            </w:pPr>
            <w:r w:rsidRPr="006F44AE">
              <w:rPr>
                <w:szCs w:val="24"/>
              </w:rPr>
              <w:t xml:space="preserve">If you cannot attend a rescheduled appointment for any reason you should contact the UKVCAS customer contact line on </w:t>
            </w:r>
            <w:r w:rsidRPr="006F44AE">
              <w:rPr>
                <w:b/>
                <w:szCs w:val="24"/>
              </w:rPr>
              <w:t>0844 8920232</w:t>
            </w:r>
            <w:r w:rsidRPr="006F44AE">
              <w:rPr>
                <w:szCs w:val="24"/>
              </w:rPr>
              <w:t xml:space="preserve">. </w:t>
            </w:r>
            <w:r w:rsidRPr="006F44AE">
              <w:rPr>
                <w:szCs w:val="24"/>
                <w:shd w:val="clear" w:color="auto" w:fill="FFFFFF"/>
              </w:rPr>
              <w:t> If you cannot or do not want to attend an appointment currently because of coronavirus (COVID-19), your immigration status will not be affected.</w:t>
            </w:r>
          </w:p>
          <w:p w14:paraId="63DA4F03" w14:textId="77777777" w:rsidR="006E661C" w:rsidRPr="006F44AE" w:rsidRDefault="006E661C" w:rsidP="006E661C">
            <w:pPr>
              <w:rPr>
                <w:szCs w:val="24"/>
                <w:shd w:val="clear" w:color="auto" w:fill="FFFFFF"/>
              </w:rPr>
            </w:pPr>
          </w:p>
          <w:p w14:paraId="49162432" w14:textId="77777777" w:rsidR="006E661C" w:rsidRPr="006F44AE" w:rsidRDefault="006E661C" w:rsidP="006E661C">
            <w:pPr>
              <w:rPr>
                <w:szCs w:val="24"/>
              </w:rPr>
            </w:pPr>
            <w:r w:rsidRPr="006F44AE">
              <w:rPr>
                <w:szCs w:val="24"/>
              </w:rPr>
              <w:t>Our Service and Support Centres (SSCs) are now offering a reduced number of appointments because of COVID-19. As more appointments are made available UKVI will invite customers, via email or post, to arrange an appointment.</w:t>
            </w:r>
          </w:p>
          <w:p w14:paraId="71776089" w14:textId="77777777" w:rsidR="006E661C" w:rsidRPr="006F44AE" w:rsidRDefault="006E661C" w:rsidP="006E661C">
            <w:pPr>
              <w:rPr>
                <w:szCs w:val="24"/>
              </w:rPr>
            </w:pPr>
          </w:p>
          <w:p w14:paraId="0BBF67D3" w14:textId="77777777" w:rsidR="006E661C" w:rsidRPr="006F44AE" w:rsidRDefault="006E661C" w:rsidP="006E661C">
            <w:pPr>
              <w:rPr>
                <w:szCs w:val="24"/>
              </w:rPr>
            </w:pPr>
            <w:r w:rsidRPr="006F44AE">
              <w:rPr>
                <w:rStyle w:val="normaltextrun"/>
                <w:color w:val="222A35"/>
              </w:rPr>
              <w:t xml:space="preserve">If you have been advised that you can </w:t>
            </w:r>
            <w:proofErr w:type="spellStart"/>
            <w:r w:rsidRPr="006F44AE">
              <w:rPr>
                <w:rStyle w:val="normaltextrun"/>
                <w:color w:val="222A35"/>
              </w:rPr>
              <w:t>enrol</w:t>
            </w:r>
            <w:proofErr w:type="spellEnd"/>
            <w:r w:rsidRPr="006F44AE">
              <w:rPr>
                <w:rStyle w:val="normaltextrun"/>
                <w:color w:val="222A35"/>
              </w:rPr>
              <w:t xml:space="preserve"> your biometrics at a Post Office </w:t>
            </w:r>
            <w:r w:rsidRPr="006F44AE">
              <w:rPr>
                <w:szCs w:val="24"/>
              </w:rPr>
              <w:t>you should check the availability of services through the Post Office finder, as advised on your Biometric Enrolment letter, or through updates on GOV.UK.</w:t>
            </w:r>
          </w:p>
          <w:p w14:paraId="48FECD76" w14:textId="77777777" w:rsidR="006E661C" w:rsidRPr="006F44AE" w:rsidRDefault="006E661C" w:rsidP="006E661C">
            <w:pPr>
              <w:rPr>
                <w:szCs w:val="24"/>
              </w:rPr>
            </w:pPr>
          </w:p>
          <w:p w14:paraId="721D1077" w14:textId="77777777" w:rsidR="006E661C" w:rsidRPr="006F44AE" w:rsidRDefault="006E661C" w:rsidP="006E661C">
            <w:pPr>
              <w:rPr>
                <w:szCs w:val="24"/>
              </w:rPr>
            </w:pPr>
            <w:r w:rsidRPr="006F44AE">
              <w:rPr>
                <w:szCs w:val="24"/>
              </w:rPr>
              <w:t>Your immigration status in the UK will not be affected as a result of you not being able to attend an appointment.</w:t>
            </w:r>
          </w:p>
          <w:p w14:paraId="1BC4B7E1" w14:textId="5F881DC1" w:rsidR="006E661C" w:rsidRPr="006F44AE" w:rsidRDefault="006E661C" w:rsidP="006E661C"/>
        </w:tc>
      </w:tr>
      <w:tr w:rsidR="006E661C" w:rsidRPr="006F44AE" w14:paraId="2E6DF0F5" w14:textId="77777777" w:rsidTr="00940543">
        <w:tc>
          <w:tcPr>
            <w:tcW w:w="5519" w:type="dxa"/>
            <w:shd w:val="clear" w:color="auto" w:fill="auto"/>
            <w:tcMar>
              <w:top w:w="100" w:type="dxa"/>
              <w:left w:w="100" w:type="dxa"/>
              <w:bottom w:w="100" w:type="dxa"/>
              <w:right w:w="100" w:type="dxa"/>
            </w:tcMar>
          </w:tcPr>
          <w:p w14:paraId="13795275" w14:textId="49483240" w:rsidR="006E661C" w:rsidRPr="006F44AE" w:rsidRDefault="006E661C" w:rsidP="006E661C">
            <w:pPr>
              <w:widowControl w:val="0"/>
              <w:numPr>
                <w:ilvl w:val="0"/>
                <w:numId w:val="2"/>
              </w:numPr>
              <w:spacing w:line="240" w:lineRule="auto"/>
              <w:jc w:val="both"/>
              <w:rPr>
                <w:b/>
              </w:rPr>
            </w:pPr>
            <w:r w:rsidRPr="006F44AE">
              <w:rPr>
                <w:b/>
              </w:rPr>
              <w:lastRenderedPageBreak/>
              <w:t>Emails being sent out of hours requesting further evidence, notifying of decisions and especially where time limits run from the time of the email.</w:t>
            </w:r>
          </w:p>
          <w:p w14:paraId="2C2403B1" w14:textId="77777777" w:rsidR="006E661C" w:rsidRPr="006F44AE" w:rsidRDefault="006E661C" w:rsidP="006E661C">
            <w:pPr>
              <w:widowControl w:val="0"/>
              <w:spacing w:line="240" w:lineRule="auto"/>
              <w:jc w:val="both"/>
              <w:rPr>
                <w:b/>
              </w:rPr>
            </w:pPr>
          </w:p>
          <w:p w14:paraId="0D56A492" w14:textId="77777777" w:rsidR="006E661C" w:rsidRPr="006F44AE" w:rsidRDefault="006E661C" w:rsidP="006E661C">
            <w:pPr>
              <w:widowControl w:val="0"/>
              <w:spacing w:line="240" w:lineRule="auto"/>
              <w:ind w:left="360"/>
              <w:jc w:val="both"/>
            </w:pPr>
            <w:r w:rsidRPr="006F44AE">
              <w:t xml:space="preserve">We are grateful to Home Office staff for working out of hours during the Covid-19 pandemic. However, we recommend that where time limits are imposed (e.g. requesting further evidence) that they run from the next working day after the email is sent, rather than running from the time of the email or alternatively emails are drafted but sent the following working day. </w:t>
            </w:r>
          </w:p>
          <w:p w14:paraId="2CAD16F8" w14:textId="7FEBB1EE" w:rsidR="006E661C" w:rsidRPr="006F44AE" w:rsidRDefault="006E661C" w:rsidP="006E661C">
            <w:pPr>
              <w:widowControl w:val="0"/>
              <w:spacing w:line="240" w:lineRule="auto"/>
              <w:jc w:val="both"/>
              <w:rPr>
                <w:b/>
              </w:rPr>
            </w:pPr>
          </w:p>
        </w:tc>
        <w:tc>
          <w:tcPr>
            <w:tcW w:w="7938" w:type="dxa"/>
            <w:shd w:val="clear" w:color="auto" w:fill="auto"/>
            <w:tcMar>
              <w:top w:w="100" w:type="dxa"/>
              <w:left w:w="100" w:type="dxa"/>
              <w:bottom w:w="100" w:type="dxa"/>
              <w:right w:w="100" w:type="dxa"/>
            </w:tcMar>
          </w:tcPr>
          <w:p w14:paraId="4E5FC059" w14:textId="634176E7" w:rsidR="006E661C" w:rsidRPr="006F44AE" w:rsidRDefault="0041320F" w:rsidP="006E661C">
            <w:r w:rsidRPr="006F44AE">
              <w:t>Previous comment</w:t>
            </w:r>
            <w:r w:rsidR="004A7729" w:rsidRPr="006F44AE">
              <w:t xml:space="preserve"> provided to this scenario remains</w:t>
            </w:r>
            <w:r w:rsidR="00940543" w:rsidRPr="006F44AE">
              <w:t xml:space="preserve">: </w:t>
            </w:r>
          </w:p>
          <w:p w14:paraId="4A62EF46" w14:textId="77777777" w:rsidR="006E661C" w:rsidRPr="006F44AE" w:rsidRDefault="006E661C" w:rsidP="006E661C"/>
          <w:p w14:paraId="50821B35" w14:textId="77777777" w:rsidR="006E661C" w:rsidRPr="006F44AE" w:rsidRDefault="006E661C" w:rsidP="0041320F">
            <w:pPr>
              <w:spacing w:line="240" w:lineRule="auto"/>
              <w:rPr>
                <w:w w:val="99"/>
              </w:rPr>
            </w:pPr>
            <w:bookmarkStart w:id="4" w:name="_Hlk59012021"/>
            <w:bookmarkStart w:id="5" w:name="_Hlk66294505"/>
            <w:r w:rsidRPr="006F44AE">
              <w:rPr>
                <w:w w:val="99"/>
              </w:rPr>
              <w:t xml:space="preserve">Thank you for raising the point, the circumstances of the pandemic have required large numbers of our staff to work remotely and some are working at variable times due to their circumstances.  As a result, we will not be instructing caseworkers to send emails during certain times because we think this will cause UKVI and reps more logistical issues.  However, please be reassured that even if an email has been sent out of hours, any required response will still be timed in normal working hours/working </w:t>
            </w:r>
            <w:proofErr w:type="gramStart"/>
            <w:r w:rsidRPr="006F44AE">
              <w:rPr>
                <w:w w:val="99"/>
              </w:rPr>
              <w:t>days</w:t>
            </w:r>
            <w:proofErr w:type="gramEnd"/>
            <w:r w:rsidRPr="006F44AE">
              <w:rPr>
                <w:w w:val="99"/>
              </w:rPr>
              <w:t xml:space="preserve"> so individuals are not </w:t>
            </w:r>
            <w:proofErr w:type="spellStart"/>
            <w:r w:rsidRPr="006F44AE">
              <w:rPr>
                <w:w w:val="99"/>
              </w:rPr>
              <w:t>penalised</w:t>
            </w:r>
            <w:proofErr w:type="spellEnd"/>
            <w:r w:rsidRPr="006F44AE">
              <w:rPr>
                <w:w w:val="99"/>
              </w:rPr>
              <w:t>.</w:t>
            </w:r>
          </w:p>
          <w:p w14:paraId="2A5AA4BC" w14:textId="77777777" w:rsidR="006E661C" w:rsidRPr="006F44AE" w:rsidRDefault="006E661C" w:rsidP="0041320F">
            <w:pPr>
              <w:spacing w:line="240" w:lineRule="auto"/>
              <w:rPr>
                <w:w w:val="99"/>
              </w:rPr>
            </w:pPr>
          </w:p>
          <w:p w14:paraId="0756F7D2" w14:textId="726E8A06" w:rsidR="006E661C" w:rsidRPr="006F44AE" w:rsidRDefault="006E661C" w:rsidP="0041320F">
            <w:pPr>
              <w:spacing w:line="240" w:lineRule="auto"/>
            </w:pPr>
            <w:r w:rsidRPr="006F44AE">
              <w:rPr>
                <w:w w:val="99"/>
              </w:rPr>
              <w:t>If you have any examples where days are lost, please could you forward the details on</w:t>
            </w:r>
            <w:bookmarkEnd w:id="4"/>
            <w:r w:rsidRPr="006F44AE">
              <w:rPr>
                <w:w w:val="99"/>
              </w:rPr>
              <w:t xml:space="preserve"> to us.</w:t>
            </w:r>
            <w:bookmarkEnd w:id="5"/>
          </w:p>
        </w:tc>
      </w:tr>
      <w:tr w:rsidR="006E661C" w:rsidRPr="006F44AE" w14:paraId="0599ED0D" w14:textId="77777777" w:rsidTr="004B25C2">
        <w:tc>
          <w:tcPr>
            <w:tcW w:w="13457" w:type="dxa"/>
            <w:gridSpan w:val="2"/>
            <w:shd w:val="clear" w:color="auto" w:fill="auto"/>
            <w:tcMar>
              <w:top w:w="100" w:type="dxa"/>
              <w:left w:w="100" w:type="dxa"/>
              <w:bottom w:w="100" w:type="dxa"/>
              <w:right w:w="100" w:type="dxa"/>
            </w:tcMar>
          </w:tcPr>
          <w:p w14:paraId="429C15C3" w14:textId="77777777" w:rsidR="006E661C" w:rsidRPr="006F44AE" w:rsidRDefault="006E661C" w:rsidP="006E661C">
            <w:pPr>
              <w:rPr>
                <w:b/>
              </w:rPr>
            </w:pPr>
          </w:p>
          <w:p w14:paraId="6C6ADD65" w14:textId="77777777" w:rsidR="006E661C" w:rsidRPr="006F44AE" w:rsidRDefault="006E661C" w:rsidP="006E661C">
            <w:pPr>
              <w:rPr>
                <w:b/>
              </w:rPr>
            </w:pPr>
            <w:r w:rsidRPr="006F44AE">
              <w:rPr>
                <w:b/>
              </w:rPr>
              <w:t>New matters</w:t>
            </w:r>
          </w:p>
          <w:p w14:paraId="2B7D6BB6" w14:textId="78FBBC11" w:rsidR="006E661C" w:rsidRPr="006F44AE" w:rsidRDefault="006E661C" w:rsidP="006E661C">
            <w:pPr>
              <w:rPr>
                <w:b/>
              </w:rPr>
            </w:pPr>
          </w:p>
        </w:tc>
      </w:tr>
      <w:tr w:rsidR="006E661C" w:rsidRPr="006F44AE" w14:paraId="49BE7465" w14:textId="77777777" w:rsidTr="00940543">
        <w:tc>
          <w:tcPr>
            <w:tcW w:w="5519" w:type="dxa"/>
            <w:shd w:val="clear" w:color="auto" w:fill="auto"/>
            <w:tcMar>
              <w:top w:w="100" w:type="dxa"/>
              <w:left w:w="100" w:type="dxa"/>
              <w:bottom w:w="100" w:type="dxa"/>
              <w:right w:w="100" w:type="dxa"/>
            </w:tcMar>
          </w:tcPr>
          <w:p w14:paraId="365EE065" w14:textId="7BF0DF58" w:rsidR="006E661C" w:rsidRPr="006F44AE" w:rsidRDefault="006E661C" w:rsidP="006E661C">
            <w:pPr>
              <w:widowControl w:val="0"/>
              <w:numPr>
                <w:ilvl w:val="0"/>
                <w:numId w:val="2"/>
              </w:numPr>
              <w:spacing w:line="240" w:lineRule="auto"/>
              <w:jc w:val="both"/>
              <w:rPr>
                <w:b/>
              </w:rPr>
            </w:pPr>
            <w:r w:rsidRPr="006F44AE">
              <w:rPr>
                <w:b/>
              </w:rPr>
              <w:t xml:space="preserve">Returning residents: </w:t>
            </w:r>
          </w:p>
          <w:p w14:paraId="62B52D53" w14:textId="5B98BAD1" w:rsidR="006E661C" w:rsidRPr="006F44AE" w:rsidRDefault="006E661C" w:rsidP="006E661C">
            <w:pPr>
              <w:widowControl w:val="0"/>
              <w:spacing w:line="240" w:lineRule="auto"/>
              <w:jc w:val="both"/>
              <w:rPr>
                <w:b/>
              </w:rPr>
            </w:pPr>
          </w:p>
          <w:p w14:paraId="0D43D2D3" w14:textId="0E0925F1" w:rsidR="006E661C" w:rsidRPr="006F44AE" w:rsidRDefault="006E661C" w:rsidP="006E661C">
            <w:pPr>
              <w:widowControl w:val="0"/>
              <w:spacing w:line="240" w:lineRule="auto"/>
              <w:ind w:left="360"/>
              <w:jc w:val="both"/>
            </w:pPr>
            <w:r w:rsidRPr="006F44AE">
              <w:lastRenderedPageBreak/>
              <w:t>The latest guidance states that:</w:t>
            </w:r>
          </w:p>
          <w:p w14:paraId="70D3631F" w14:textId="77777777" w:rsidR="006E661C" w:rsidRPr="006F44AE" w:rsidRDefault="006E661C" w:rsidP="006E661C">
            <w:pPr>
              <w:widowControl w:val="0"/>
              <w:spacing w:line="240" w:lineRule="auto"/>
            </w:pPr>
          </w:p>
          <w:p w14:paraId="5250AC5A" w14:textId="77777777" w:rsidR="006E661C" w:rsidRPr="006F44AE" w:rsidRDefault="006E661C" w:rsidP="006E661C">
            <w:pPr>
              <w:widowControl w:val="0"/>
              <w:spacing w:line="240" w:lineRule="auto"/>
              <w:ind w:left="360"/>
              <w:jc w:val="both"/>
              <w:rPr>
                <w:b/>
              </w:rPr>
            </w:pPr>
            <w:r w:rsidRPr="006F44AE">
              <w:rPr>
                <w:b/>
              </w:rPr>
              <w:t>“Extended absence from the UK due to COVID-19 pandemic travel restrictions</w:t>
            </w:r>
          </w:p>
          <w:p w14:paraId="788E93B2" w14:textId="64A613C0" w:rsidR="006E661C" w:rsidRPr="006F44AE" w:rsidRDefault="006E661C" w:rsidP="006E661C">
            <w:pPr>
              <w:widowControl w:val="0"/>
              <w:spacing w:line="240" w:lineRule="auto"/>
              <w:ind w:left="360"/>
              <w:jc w:val="both"/>
              <w:rPr>
                <w:b/>
              </w:rPr>
            </w:pPr>
            <w:r w:rsidRPr="006F44AE">
              <w:rPr>
                <w:b/>
              </w:rPr>
              <w:t xml:space="preserve"> </w:t>
            </w:r>
          </w:p>
          <w:p w14:paraId="10C50230" w14:textId="78F79923" w:rsidR="006E661C" w:rsidRPr="006F44AE" w:rsidRDefault="006E661C" w:rsidP="006E661C">
            <w:pPr>
              <w:widowControl w:val="0"/>
              <w:spacing w:line="240" w:lineRule="auto"/>
              <w:ind w:left="360"/>
              <w:jc w:val="both"/>
            </w:pPr>
            <w:r w:rsidRPr="006F44AE">
              <w:t xml:space="preserve">Some applicants will have been prevented from returning to the UK in 2020 and 2021, due to travel restrictions in place relating to the COVID-19 pandemic. In some </w:t>
            </w:r>
            <w:proofErr w:type="gramStart"/>
            <w:r w:rsidRPr="006F44AE">
              <w:t>cases</w:t>
            </w:r>
            <w:proofErr w:type="gramEnd"/>
            <w:r w:rsidRPr="006F44AE">
              <w:t xml:space="preserve"> this will have resulted in their indefinite leave lapsing.</w:t>
            </w:r>
          </w:p>
          <w:p w14:paraId="4DBAC6BB" w14:textId="77777777" w:rsidR="006E661C" w:rsidRPr="006F44AE" w:rsidRDefault="006E661C" w:rsidP="006E661C">
            <w:pPr>
              <w:widowControl w:val="0"/>
              <w:spacing w:line="240" w:lineRule="auto"/>
              <w:ind w:left="360"/>
              <w:jc w:val="both"/>
            </w:pPr>
          </w:p>
          <w:p w14:paraId="7FF74DD9" w14:textId="28E33D65" w:rsidR="006E661C" w:rsidRPr="006F44AE" w:rsidRDefault="006E661C" w:rsidP="006E661C">
            <w:pPr>
              <w:widowControl w:val="0"/>
              <w:spacing w:line="240" w:lineRule="auto"/>
              <w:ind w:left="360"/>
              <w:jc w:val="both"/>
            </w:pPr>
            <w:r w:rsidRPr="006F44AE">
              <w:t>You should consider whether travel restrictions after 24 January 2020 resulted in unintended absences from the UK. Where you assess someone had intended to return to the UK before their leave lapsed but were prevented from returning by travel restrictions, you should consider this as an additional factor supporting a grant of entry clearance.”</w:t>
            </w:r>
            <w:r w:rsidRPr="006F44AE">
              <w:rPr>
                <w:vertAlign w:val="superscript"/>
              </w:rPr>
              <w:footnoteReference w:id="5"/>
            </w:r>
          </w:p>
          <w:p w14:paraId="30B71DD0" w14:textId="77777777" w:rsidR="006E661C" w:rsidRPr="006F44AE" w:rsidRDefault="006E661C" w:rsidP="006E661C">
            <w:pPr>
              <w:widowControl w:val="0"/>
              <w:spacing w:line="240" w:lineRule="auto"/>
              <w:ind w:left="360"/>
              <w:jc w:val="both"/>
              <w:rPr>
                <w:rFonts w:eastAsia="Calibri"/>
                <w:color w:val="1F497D"/>
              </w:rPr>
            </w:pPr>
          </w:p>
          <w:p w14:paraId="1F2444D0" w14:textId="04D5D42A" w:rsidR="006E661C" w:rsidRPr="006F44AE" w:rsidRDefault="006E661C" w:rsidP="006E661C">
            <w:pPr>
              <w:widowControl w:val="0"/>
              <w:spacing w:line="240" w:lineRule="auto"/>
              <w:ind w:left="360"/>
              <w:jc w:val="both"/>
            </w:pPr>
            <w:r w:rsidRPr="006F44AE">
              <w:t>What is not clear is the situation where someone could travel but does not want to risk exposure to Covid-19 by returning to the UK or having to go through quarantine on arrival.</w:t>
            </w:r>
          </w:p>
          <w:p w14:paraId="174520BF" w14:textId="1A946C61" w:rsidR="006E661C" w:rsidRPr="006F44AE" w:rsidRDefault="006E661C" w:rsidP="006E661C">
            <w:pPr>
              <w:pStyle w:val="ListParagraph"/>
              <w:widowControl w:val="0"/>
              <w:numPr>
                <w:ilvl w:val="0"/>
                <w:numId w:val="7"/>
              </w:numPr>
              <w:spacing w:before="240" w:after="240" w:line="240" w:lineRule="auto"/>
              <w:jc w:val="both"/>
              <w:rPr>
                <w:b/>
              </w:rPr>
            </w:pPr>
            <w:r w:rsidRPr="006F44AE">
              <w:rPr>
                <w:b/>
              </w:rPr>
              <w:t xml:space="preserve">We recommend that the guidance is amended </w:t>
            </w:r>
            <w:proofErr w:type="gramStart"/>
            <w:r w:rsidRPr="006F44AE">
              <w:rPr>
                <w:b/>
              </w:rPr>
              <w:t>so as to</w:t>
            </w:r>
            <w:proofErr w:type="gramEnd"/>
            <w:r w:rsidRPr="006F44AE">
              <w:rPr>
                <w:b/>
              </w:rPr>
              <w:t xml:space="preserve"> include the risk of exposure to Covid-19 as an acceptable reason for being outside of the UK for more than 2 years.</w:t>
            </w:r>
          </w:p>
        </w:tc>
        <w:tc>
          <w:tcPr>
            <w:tcW w:w="7938" w:type="dxa"/>
            <w:shd w:val="clear" w:color="auto" w:fill="auto"/>
            <w:tcMar>
              <w:top w:w="100" w:type="dxa"/>
              <w:left w:w="100" w:type="dxa"/>
              <w:bottom w:w="100" w:type="dxa"/>
              <w:right w:w="100" w:type="dxa"/>
            </w:tcMar>
          </w:tcPr>
          <w:p w14:paraId="17674170" w14:textId="77777777" w:rsidR="006E661C" w:rsidRPr="006F44AE" w:rsidRDefault="006E661C" w:rsidP="006E661C">
            <w:pPr>
              <w:widowControl w:val="0"/>
              <w:spacing w:line="240" w:lineRule="auto"/>
            </w:pPr>
            <w:r w:rsidRPr="006F44AE">
              <w:lastRenderedPageBreak/>
              <w:t>Guidance is now available on gov.uk for RR with lapsed leave:</w:t>
            </w:r>
          </w:p>
          <w:p w14:paraId="72DDC849" w14:textId="4FC4CAA1" w:rsidR="006E661C" w:rsidRPr="006F44AE" w:rsidRDefault="006E661C" w:rsidP="006E661C">
            <w:pPr>
              <w:pStyle w:val="Heading3"/>
              <w:shd w:val="clear" w:color="auto" w:fill="FFFFFF"/>
              <w:spacing w:before="525" w:after="0"/>
              <w:textAlignment w:val="baseline"/>
              <w:rPr>
                <w:color w:val="0B0C0C"/>
                <w:sz w:val="22"/>
                <w:szCs w:val="22"/>
              </w:rPr>
            </w:pPr>
            <w:r w:rsidRPr="006F44AE">
              <w:rPr>
                <w:color w:val="0B0C0C"/>
                <w:sz w:val="22"/>
                <w:szCs w:val="22"/>
              </w:rPr>
              <w:lastRenderedPageBreak/>
              <w:t xml:space="preserve">If you’ve remained outside the UK for over 2 years and due to coronavirus travel </w:t>
            </w:r>
            <w:proofErr w:type="gramStart"/>
            <w:r w:rsidR="00940543" w:rsidRPr="006F44AE">
              <w:rPr>
                <w:color w:val="0B0C0C"/>
                <w:sz w:val="22"/>
                <w:szCs w:val="22"/>
              </w:rPr>
              <w:t>restrictions</w:t>
            </w:r>
            <w:proofErr w:type="gramEnd"/>
            <w:r w:rsidRPr="006F44AE">
              <w:rPr>
                <w:color w:val="0B0C0C"/>
                <w:sz w:val="22"/>
                <w:szCs w:val="22"/>
              </w:rPr>
              <w:t xml:space="preserve"> your indefinite leave has lapsed</w:t>
            </w:r>
          </w:p>
          <w:p w14:paraId="415981A5" w14:textId="77777777" w:rsidR="006E661C" w:rsidRPr="006F44AE" w:rsidRDefault="006E661C" w:rsidP="006E661C">
            <w:pPr>
              <w:pStyle w:val="NormalWeb"/>
              <w:shd w:val="clear" w:color="auto" w:fill="FFFFFF"/>
              <w:spacing w:before="300" w:beforeAutospacing="0" w:after="300" w:afterAutospacing="0"/>
              <w:rPr>
                <w:rFonts w:ascii="Arial" w:hAnsi="Arial" w:cs="Arial"/>
                <w:color w:val="0B0C0C"/>
              </w:rPr>
            </w:pPr>
            <w:r w:rsidRPr="006F44AE">
              <w:rPr>
                <w:rFonts w:ascii="Arial" w:hAnsi="Arial" w:cs="Arial"/>
                <w:color w:val="0B0C0C"/>
              </w:rPr>
              <w:t>Your Indefinite Leave to Remain in the UK (ILR) or Indefinite Leave to Enter the UK (ILE) will lapse if you are absent from the UK for over 2 years.</w:t>
            </w:r>
          </w:p>
          <w:p w14:paraId="21CF6ACA" w14:textId="77777777" w:rsidR="006E661C" w:rsidRPr="006F44AE" w:rsidRDefault="006E661C" w:rsidP="006E661C">
            <w:pPr>
              <w:pStyle w:val="NormalWeb"/>
              <w:shd w:val="clear" w:color="auto" w:fill="FFFFFF"/>
              <w:spacing w:before="300" w:beforeAutospacing="0" w:after="300" w:afterAutospacing="0"/>
              <w:rPr>
                <w:rFonts w:ascii="Arial" w:hAnsi="Arial" w:cs="Arial"/>
                <w:color w:val="0B0C0C"/>
              </w:rPr>
            </w:pPr>
            <w:r w:rsidRPr="006F44AE">
              <w:rPr>
                <w:rFonts w:ascii="Arial" w:hAnsi="Arial" w:cs="Arial"/>
                <w:color w:val="0B0C0C"/>
              </w:rPr>
              <w:t>If your ILR/ILE lapsed on or after 24 January 2020, and you’ve been unable to return to the UK due to travel restrictions in place relating to coronavirus, you may apply under the Returning Resident visa route to return to the UK and get indefinite leave.</w:t>
            </w:r>
          </w:p>
          <w:p w14:paraId="2D4084AD" w14:textId="77777777" w:rsidR="006E661C" w:rsidRPr="006F44AE" w:rsidRDefault="006E661C" w:rsidP="006E661C">
            <w:pPr>
              <w:pStyle w:val="NormalWeb"/>
              <w:shd w:val="clear" w:color="auto" w:fill="FFFFFF"/>
              <w:spacing w:before="0" w:beforeAutospacing="0" w:after="0" w:afterAutospacing="0"/>
              <w:rPr>
                <w:rFonts w:ascii="Arial" w:hAnsi="Arial" w:cs="Arial"/>
                <w:color w:val="0B0C0C"/>
              </w:rPr>
            </w:pPr>
            <w:r w:rsidRPr="006F44AE">
              <w:rPr>
                <w:rFonts w:ascii="Arial" w:hAnsi="Arial" w:cs="Arial"/>
                <w:color w:val="0B0C0C"/>
              </w:rPr>
              <w:t>You need to complete the online </w:t>
            </w:r>
            <w:hyperlink r:id="rId19" w:history="1">
              <w:r w:rsidRPr="006F44AE">
                <w:rPr>
                  <w:rStyle w:val="Hyperlink"/>
                  <w:rFonts w:ascii="Arial" w:hAnsi="Arial" w:cs="Arial"/>
                  <w:color w:val="4C2C92"/>
                  <w:bdr w:val="none" w:sz="0" w:space="0" w:color="auto" w:frame="1"/>
                </w:rPr>
                <w:t>Returning Resident application form</w:t>
              </w:r>
            </w:hyperlink>
            <w:r w:rsidRPr="006F44AE">
              <w:rPr>
                <w:rFonts w:ascii="Arial" w:hAnsi="Arial" w:cs="Arial"/>
                <w:color w:val="0B0C0C"/>
              </w:rPr>
              <w:t> and pay the fee. As part of your application you’ll need to explain how coronavirus restrictions prevented your return to the UK.</w:t>
            </w:r>
          </w:p>
          <w:p w14:paraId="1F2EAAA8" w14:textId="77777777" w:rsidR="006E661C" w:rsidRPr="006F44AE" w:rsidRDefault="006E661C" w:rsidP="006E661C">
            <w:pPr>
              <w:pStyle w:val="NormalWeb"/>
              <w:shd w:val="clear" w:color="auto" w:fill="FFFFFF"/>
              <w:spacing w:before="300" w:beforeAutospacing="0" w:after="300" w:afterAutospacing="0"/>
              <w:rPr>
                <w:rFonts w:ascii="Arial" w:hAnsi="Arial" w:cs="Arial"/>
                <w:color w:val="0B0C0C"/>
              </w:rPr>
            </w:pPr>
            <w:r w:rsidRPr="006F44AE">
              <w:rPr>
                <w:rFonts w:ascii="Arial" w:hAnsi="Arial" w:cs="Arial"/>
                <w:color w:val="0B0C0C"/>
              </w:rPr>
              <w:t xml:space="preserve">You’ll receive a refund of the application fee and, where applicable, a refund of £55 if you submitted your application at a Mandatory User Pay Visa Application Centre. Confirmation of your refund will be sent to you by email once we’ve </w:t>
            </w:r>
            <w:proofErr w:type="gramStart"/>
            <w:r w:rsidRPr="006F44AE">
              <w:rPr>
                <w:rFonts w:ascii="Arial" w:hAnsi="Arial" w:cs="Arial"/>
                <w:color w:val="0B0C0C"/>
              </w:rPr>
              <w:t>made a decision</w:t>
            </w:r>
            <w:proofErr w:type="gramEnd"/>
            <w:r w:rsidRPr="006F44AE">
              <w:rPr>
                <w:rFonts w:ascii="Arial" w:hAnsi="Arial" w:cs="Arial"/>
                <w:color w:val="0B0C0C"/>
              </w:rPr>
              <w:t xml:space="preserve"> on your application.</w:t>
            </w:r>
          </w:p>
          <w:p w14:paraId="5C559F49" w14:textId="77777777" w:rsidR="006E661C" w:rsidRPr="006F44AE" w:rsidRDefault="006E661C" w:rsidP="006E661C">
            <w:pPr>
              <w:pStyle w:val="Heading4"/>
              <w:shd w:val="clear" w:color="auto" w:fill="FFFFFF"/>
              <w:spacing w:before="525" w:after="0"/>
              <w:textAlignment w:val="baseline"/>
              <w:rPr>
                <w:color w:val="0B0C0C"/>
                <w:sz w:val="22"/>
                <w:szCs w:val="22"/>
              </w:rPr>
            </w:pPr>
            <w:r w:rsidRPr="006F44AE">
              <w:rPr>
                <w:color w:val="0B0C0C"/>
                <w:sz w:val="22"/>
                <w:szCs w:val="22"/>
              </w:rPr>
              <w:t>If you’ve already been issued a Returning Resident visa</w:t>
            </w:r>
          </w:p>
          <w:p w14:paraId="5BCC8C75" w14:textId="77777777" w:rsidR="006E661C" w:rsidRPr="006F44AE" w:rsidRDefault="006E661C" w:rsidP="006E661C">
            <w:pPr>
              <w:pStyle w:val="NormalWeb"/>
              <w:shd w:val="clear" w:color="auto" w:fill="FFFFFF"/>
              <w:spacing w:before="75" w:beforeAutospacing="0" w:after="300" w:afterAutospacing="0"/>
              <w:rPr>
                <w:rFonts w:ascii="Arial" w:hAnsi="Arial" w:cs="Arial"/>
                <w:color w:val="0B0C0C"/>
              </w:rPr>
            </w:pPr>
            <w:r w:rsidRPr="006F44AE">
              <w:rPr>
                <w:rFonts w:ascii="Arial" w:hAnsi="Arial" w:cs="Arial"/>
                <w:color w:val="0B0C0C"/>
              </w:rPr>
              <w:t>If you’ve already obtained a Returning Resident visa because your ILR/ILE lapsed on or after 24 January 2020 and you were unable to return to the UK due to travel restrictions in place relating to coronavirus, you may be eligible for a refund of your visa fee.</w:t>
            </w:r>
          </w:p>
          <w:p w14:paraId="513555A5" w14:textId="77777777" w:rsidR="006E661C" w:rsidRPr="006F44AE" w:rsidRDefault="006E661C" w:rsidP="006E661C">
            <w:pPr>
              <w:pStyle w:val="NormalWeb"/>
              <w:shd w:val="clear" w:color="auto" w:fill="FFFFFF"/>
              <w:spacing w:before="0" w:beforeAutospacing="0" w:after="0" w:afterAutospacing="0"/>
              <w:rPr>
                <w:rFonts w:ascii="Arial" w:hAnsi="Arial" w:cs="Arial"/>
                <w:color w:val="0B0C0C"/>
              </w:rPr>
            </w:pPr>
            <w:r w:rsidRPr="006F44AE">
              <w:rPr>
                <w:rFonts w:ascii="Arial" w:hAnsi="Arial" w:cs="Arial"/>
                <w:color w:val="0B0C0C"/>
              </w:rPr>
              <w:t xml:space="preserve">You will need to email the </w:t>
            </w:r>
            <w:proofErr w:type="spellStart"/>
            <w:r w:rsidRPr="006F44AE">
              <w:rPr>
                <w:rFonts w:ascii="Arial" w:hAnsi="Arial" w:cs="Arial"/>
                <w:color w:val="0B0C0C"/>
              </w:rPr>
              <w:t>Covid</w:t>
            </w:r>
            <w:proofErr w:type="spellEnd"/>
            <w:r w:rsidRPr="006F44AE">
              <w:rPr>
                <w:rFonts w:ascii="Arial" w:hAnsi="Arial" w:cs="Arial"/>
                <w:color w:val="0B0C0C"/>
              </w:rPr>
              <w:t xml:space="preserve"> Immigration Helpline (CIH) at </w:t>
            </w:r>
            <w:hyperlink r:id="rId20" w:history="1">
              <w:r w:rsidRPr="006F44AE">
                <w:rPr>
                  <w:rStyle w:val="Hyperlink"/>
                  <w:rFonts w:ascii="Arial" w:hAnsi="Arial" w:cs="Arial"/>
                  <w:color w:val="4C2C92"/>
                  <w:bdr w:val="none" w:sz="0" w:space="0" w:color="auto" w:frame="1"/>
                </w:rPr>
                <w:t>CIH@homeoffice.gov.uk</w:t>
              </w:r>
            </w:hyperlink>
            <w:r w:rsidRPr="006F44AE">
              <w:rPr>
                <w:rFonts w:ascii="Arial" w:hAnsi="Arial" w:cs="Arial"/>
                <w:color w:val="0B0C0C"/>
              </w:rPr>
              <w:t>.</w:t>
            </w:r>
          </w:p>
          <w:p w14:paraId="06237F6D" w14:textId="77777777" w:rsidR="006E661C" w:rsidRPr="006F44AE" w:rsidRDefault="006E661C" w:rsidP="006E661C">
            <w:pPr>
              <w:pStyle w:val="NormalWeb"/>
              <w:shd w:val="clear" w:color="auto" w:fill="FFFFFF"/>
              <w:spacing w:before="300" w:beforeAutospacing="0" w:after="300" w:afterAutospacing="0"/>
              <w:rPr>
                <w:rFonts w:ascii="Arial" w:hAnsi="Arial" w:cs="Arial"/>
                <w:color w:val="0B0C0C"/>
              </w:rPr>
            </w:pPr>
            <w:r w:rsidRPr="006F44AE">
              <w:rPr>
                <w:rFonts w:ascii="Arial" w:hAnsi="Arial" w:cs="Arial"/>
                <w:color w:val="0B0C0C"/>
              </w:rPr>
              <w:lastRenderedPageBreak/>
              <w:t>Use the subject heading ‘Returning Resident Refund Request’ followed by the GWF number you received when you submitted your application.</w:t>
            </w:r>
          </w:p>
          <w:p w14:paraId="1ADC1BF7" w14:textId="77777777" w:rsidR="006E661C" w:rsidRPr="006F44AE" w:rsidRDefault="006E661C" w:rsidP="006E661C">
            <w:pPr>
              <w:pStyle w:val="NormalWeb"/>
              <w:shd w:val="clear" w:color="auto" w:fill="FFFFFF"/>
              <w:spacing w:before="300" w:beforeAutospacing="0" w:after="300" w:afterAutospacing="0"/>
              <w:rPr>
                <w:rFonts w:ascii="Arial" w:hAnsi="Arial" w:cs="Arial"/>
                <w:color w:val="0B0C0C"/>
              </w:rPr>
            </w:pPr>
            <w:r w:rsidRPr="006F44AE">
              <w:rPr>
                <w:rFonts w:ascii="Arial" w:hAnsi="Arial" w:cs="Arial"/>
                <w:color w:val="0B0C0C"/>
              </w:rPr>
              <w:t>Your email must be in English and you must also provide:</w:t>
            </w:r>
          </w:p>
          <w:p w14:paraId="0929A262" w14:textId="77777777" w:rsidR="006E661C" w:rsidRPr="006F44AE" w:rsidRDefault="006E661C" w:rsidP="006E661C">
            <w:pPr>
              <w:numPr>
                <w:ilvl w:val="0"/>
                <w:numId w:val="22"/>
              </w:numPr>
              <w:shd w:val="clear" w:color="auto" w:fill="FFFFFF"/>
              <w:spacing w:after="75" w:line="240" w:lineRule="auto"/>
              <w:ind w:left="300"/>
              <w:rPr>
                <w:color w:val="0B0C0C"/>
              </w:rPr>
            </w:pPr>
            <w:r w:rsidRPr="006F44AE">
              <w:rPr>
                <w:color w:val="0B0C0C"/>
              </w:rPr>
              <w:t>your name</w:t>
            </w:r>
          </w:p>
          <w:p w14:paraId="1D47404D" w14:textId="77777777" w:rsidR="006E661C" w:rsidRPr="006F44AE" w:rsidRDefault="006E661C" w:rsidP="006E661C">
            <w:pPr>
              <w:numPr>
                <w:ilvl w:val="0"/>
                <w:numId w:val="22"/>
              </w:numPr>
              <w:shd w:val="clear" w:color="auto" w:fill="FFFFFF"/>
              <w:spacing w:after="75" w:line="240" w:lineRule="auto"/>
              <w:ind w:left="300"/>
              <w:rPr>
                <w:color w:val="0B0C0C"/>
              </w:rPr>
            </w:pPr>
            <w:r w:rsidRPr="006F44AE">
              <w:rPr>
                <w:color w:val="0B0C0C"/>
              </w:rPr>
              <w:t>date of birth</w:t>
            </w:r>
          </w:p>
          <w:p w14:paraId="517A9460" w14:textId="02D8C032" w:rsidR="006E661C" w:rsidRPr="006F44AE" w:rsidRDefault="006E661C" w:rsidP="006E661C">
            <w:pPr>
              <w:numPr>
                <w:ilvl w:val="0"/>
                <w:numId w:val="22"/>
              </w:numPr>
              <w:shd w:val="clear" w:color="auto" w:fill="FFFFFF"/>
              <w:spacing w:after="75" w:line="240" w:lineRule="auto"/>
              <w:ind w:left="300"/>
              <w:rPr>
                <w:color w:val="0B0C0C"/>
              </w:rPr>
            </w:pPr>
            <w:r w:rsidRPr="006F44AE">
              <w:rPr>
                <w:color w:val="0B0C0C"/>
              </w:rPr>
              <w:t>any unique Home Office reference numbers, including your payment reference for the visa fee</w:t>
            </w:r>
          </w:p>
          <w:p w14:paraId="5051FC5B" w14:textId="77777777" w:rsidR="00F61064" w:rsidRPr="006F44AE" w:rsidRDefault="00F61064" w:rsidP="00F61064">
            <w:pPr>
              <w:shd w:val="clear" w:color="auto" w:fill="FFFFFF"/>
              <w:spacing w:after="75" w:line="240" w:lineRule="auto"/>
              <w:ind w:left="300"/>
              <w:rPr>
                <w:color w:val="0B0C0C"/>
              </w:rPr>
            </w:pPr>
          </w:p>
          <w:p w14:paraId="5205F615" w14:textId="45E46EB5" w:rsidR="006E661C" w:rsidRPr="006F44AE" w:rsidRDefault="003A0C2F" w:rsidP="006E661C">
            <w:r w:rsidRPr="006F44AE">
              <w:rPr>
                <w:color w:val="0000FF"/>
                <w:u w:val="single"/>
              </w:rPr>
              <w:t>https://www.gov.uk/guidance/coronavirus-covid-19-advice-for-uk-visa-applicants-and-temporary-uk-residents#outside-uk</w:t>
            </w:r>
          </w:p>
        </w:tc>
      </w:tr>
      <w:tr w:rsidR="006E661C" w:rsidRPr="006F44AE" w14:paraId="5A05EF30" w14:textId="77777777" w:rsidTr="00940543">
        <w:tc>
          <w:tcPr>
            <w:tcW w:w="5519" w:type="dxa"/>
            <w:shd w:val="clear" w:color="auto" w:fill="auto"/>
            <w:tcMar>
              <w:top w:w="100" w:type="dxa"/>
              <w:left w:w="100" w:type="dxa"/>
              <w:bottom w:w="100" w:type="dxa"/>
              <w:right w:w="100" w:type="dxa"/>
            </w:tcMar>
          </w:tcPr>
          <w:p w14:paraId="0CDD27CC" w14:textId="5EE5C5C3" w:rsidR="006E661C" w:rsidRPr="006F44AE" w:rsidRDefault="006E661C" w:rsidP="006E661C">
            <w:pPr>
              <w:widowControl w:val="0"/>
              <w:numPr>
                <w:ilvl w:val="0"/>
                <w:numId w:val="2"/>
              </w:numPr>
              <w:spacing w:line="240" w:lineRule="auto"/>
              <w:rPr>
                <w:b/>
              </w:rPr>
            </w:pPr>
            <w:bookmarkStart w:id="6" w:name="_Hlk63846526"/>
            <w:r w:rsidRPr="006F44AE">
              <w:rPr>
                <w:b/>
              </w:rPr>
              <w:lastRenderedPageBreak/>
              <w:t xml:space="preserve">Working after a </w:t>
            </w:r>
            <w:proofErr w:type="spellStart"/>
            <w:r w:rsidRPr="006F44AE">
              <w:rPr>
                <w:b/>
              </w:rPr>
              <w:t>CoS</w:t>
            </w:r>
            <w:proofErr w:type="spellEnd"/>
            <w:r w:rsidRPr="006F44AE">
              <w:rPr>
                <w:b/>
              </w:rPr>
              <w:t xml:space="preserve"> has been issued:</w:t>
            </w:r>
          </w:p>
          <w:p w14:paraId="1B4C7768" w14:textId="77777777" w:rsidR="006E661C" w:rsidRPr="006F44AE" w:rsidRDefault="006E661C" w:rsidP="006E661C">
            <w:pPr>
              <w:widowControl w:val="0"/>
              <w:spacing w:line="240" w:lineRule="auto"/>
              <w:ind w:left="1080"/>
              <w:jc w:val="both"/>
              <w:rPr>
                <w:b/>
              </w:rPr>
            </w:pPr>
          </w:p>
          <w:p w14:paraId="5F8D9065" w14:textId="77777777" w:rsidR="006E661C" w:rsidRPr="006F44AE" w:rsidRDefault="006E661C" w:rsidP="006E661C">
            <w:pPr>
              <w:widowControl w:val="0"/>
              <w:spacing w:line="240" w:lineRule="auto"/>
              <w:ind w:left="360"/>
              <w:jc w:val="both"/>
            </w:pPr>
            <w:r w:rsidRPr="006F44AE">
              <w:t xml:space="preserve">The COVID concession for workers being able to start work pending a decision on their application was significantly narrowed for those with </w:t>
            </w:r>
            <w:proofErr w:type="spellStart"/>
            <w:r w:rsidRPr="006F44AE">
              <w:t>CoS</w:t>
            </w:r>
            <w:proofErr w:type="spellEnd"/>
            <w:r w:rsidRPr="006F44AE">
              <w:t xml:space="preserve"> issued from 1 January. This concession may have been narrowed because priority and super priority services were due to be reintroduced. </w:t>
            </w:r>
          </w:p>
          <w:p w14:paraId="54E954B2" w14:textId="77777777" w:rsidR="006E661C" w:rsidRPr="006F44AE" w:rsidRDefault="006E661C" w:rsidP="006E661C">
            <w:pPr>
              <w:widowControl w:val="0"/>
              <w:spacing w:line="240" w:lineRule="auto"/>
              <w:ind w:left="360"/>
              <w:jc w:val="both"/>
            </w:pPr>
          </w:p>
          <w:p w14:paraId="166320FC" w14:textId="2FE0C31D" w:rsidR="006E661C" w:rsidRPr="006F44AE" w:rsidRDefault="006E661C" w:rsidP="006E661C">
            <w:pPr>
              <w:widowControl w:val="0"/>
              <w:spacing w:line="240" w:lineRule="auto"/>
              <w:ind w:left="360"/>
              <w:jc w:val="both"/>
            </w:pPr>
            <w:r w:rsidRPr="006F44AE">
              <w:t>These services have now been reintroduced, however there is still a significant delay with obtaining biometrics appointments. Applicants and businesses are now having to wait for a decision in circumstances where there may be financial hardship for the applicant (e.g. where they were previously made redundant due to the pandemic) and/or where a business may need the person to start urgently.</w:t>
            </w:r>
          </w:p>
          <w:p w14:paraId="5CA9F5AB" w14:textId="7BDF0507" w:rsidR="006E661C" w:rsidRDefault="006E661C" w:rsidP="006E661C">
            <w:pPr>
              <w:widowControl w:val="0"/>
              <w:spacing w:line="240" w:lineRule="auto"/>
              <w:ind w:left="360"/>
              <w:jc w:val="both"/>
            </w:pPr>
          </w:p>
          <w:p w14:paraId="35D0DEF2" w14:textId="77777777" w:rsidR="00E82478" w:rsidRPr="006F44AE" w:rsidRDefault="00E82478" w:rsidP="006E661C">
            <w:pPr>
              <w:widowControl w:val="0"/>
              <w:spacing w:line="240" w:lineRule="auto"/>
              <w:ind w:left="360"/>
              <w:jc w:val="both"/>
            </w:pPr>
          </w:p>
          <w:p w14:paraId="73F521BC" w14:textId="77777777" w:rsidR="006E661C" w:rsidRPr="006F44AE" w:rsidRDefault="006E661C" w:rsidP="006E661C">
            <w:pPr>
              <w:widowControl w:val="0"/>
              <w:spacing w:line="240" w:lineRule="auto"/>
              <w:ind w:left="360"/>
              <w:jc w:val="both"/>
            </w:pPr>
          </w:p>
          <w:p w14:paraId="348B0001" w14:textId="77777777" w:rsidR="006E661C" w:rsidRPr="006F44AE" w:rsidRDefault="006E661C" w:rsidP="006E661C">
            <w:pPr>
              <w:pStyle w:val="ListParagraph"/>
              <w:widowControl w:val="0"/>
              <w:numPr>
                <w:ilvl w:val="0"/>
                <w:numId w:val="7"/>
              </w:numPr>
              <w:spacing w:line="240" w:lineRule="auto"/>
              <w:jc w:val="both"/>
            </w:pPr>
            <w:r w:rsidRPr="006F44AE">
              <w:rPr>
                <w:b/>
              </w:rPr>
              <w:lastRenderedPageBreak/>
              <w:t xml:space="preserve">We recommend that those issued with </w:t>
            </w:r>
            <w:proofErr w:type="spellStart"/>
            <w:r w:rsidRPr="006F44AE">
              <w:rPr>
                <w:b/>
              </w:rPr>
              <w:t>CoS</w:t>
            </w:r>
            <w:proofErr w:type="spellEnd"/>
            <w:r w:rsidRPr="006F44AE">
              <w:rPr>
                <w:b/>
              </w:rPr>
              <w:t xml:space="preserve"> on or after 1 January 2021 </w:t>
            </w:r>
            <w:proofErr w:type="gramStart"/>
            <w:r w:rsidRPr="006F44AE">
              <w:rPr>
                <w:b/>
              </w:rPr>
              <w:t>are able to</w:t>
            </w:r>
            <w:proofErr w:type="gramEnd"/>
            <w:r w:rsidRPr="006F44AE">
              <w:rPr>
                <w:b/>
              </w:rPr>
              <w:t xml:space="preserve"> begin work while their applications are pending.</w:t>
            </w:r>
          </w:p>
          <w:p w14:paraId="31D0D785" w14:textId="77777777" w:rsidR="005E4D6B" w:rsidRPr="006F44AE" w:rsidRDefault="005E4D6B" w:rsidP="005E4D6B">
            <w:pPr>
              <w:widowControl w:val="0"/>
              <w:spacing w:line="240" w:lineRule="auto"/>
              <w:jc w:val="both"/>
            </w:pPr>
          </w:p>
          <w:p w14:paraId="33E8C868" w14:textId="77777777" w:rsidR="005E4D6B" w:rsidRPr="006F44AE" w:rsidRDefault="005E4D6B" w:rsidP="005E4D6B">
            <w:pPr>
              <w:widowControl w:val="0"/>
              <w:spacing w:line="240" w:lineRule="auto"/>
              <w:rPr>
                <w:b/>
              </w:rPr>
            </w:pPr>
            <w:r w:rsidRPr="006F44AE">
              <w:rPr>
                <w:b/>
              </w:rPr>
              <w:t>Additional Query emailed 12.2.21</w:t>
            </w:r>
          </w:p>
          <w:p w14:paraId="045D1560" w14:textId="77777777" w:rsidR="005E4D6B" w:rsidRPr="006F44AE" w:rsidRDefault="005E4D6B" w:rsidP="005E4D6B">
            <w:pPr>
              <w:widowControl w:val="0"/>
              <w:spacing w:line="240" w:lineRule="auto"/>
              <w:rPr>
                <w:b/>
              </w:rPr>
            </w:pPr>
          </w:p>
          <w:p w14:paraId="0209C451" w14:textId="77777777" w:rsidR="005E4D6B" w:rsidRPr="006F44AE" w:rsidRDefault="005E4D6B" w:rsidP="005E4D6B">
            <w:r w:rsidRPr="006F44AE">
              <w:t xml:space="preserve">Hope this finds you well. We’re writing in relation to point 12 of our questions </w:t>
            </w:r>
            <w:proofErr w:type="gramStart"/>
            <w:r w:rsidRPr="006F44AE">
              <w:t>document</w:t>
            </w:r>
            <w:proofErr w:type="gramEnd"/>
            <w:r w:rsidRPr="006F44AE">
              <w:t xml:space="preserve">, which concerns people’s ability to work while their applications are pending. Given that biometric appointments remain limited and the risk of </w:t>
            </w:r>
            <w:proofErr w:type="spellStart"/>
            <w:r w:rsidRPr="006F44AE">
              <w:t>Covid</w:t>
            </w:r>
            <w:proofErr w:type="spellEnd"/>
            <w:r w:rsidRPr="006F44AE">
              <w:t xml:space="preserve"> transmission remains high, we recommend that those issued with </w:t>
            </w:r>
            <w:proofErr w:type="spellStart"/>
            <w:r w:rsidRPr="006F44AE">
              <w:t>CoS</w:t>
            </w:r>
            <w:proofErr w:type="spellEnd"/>
            <w:r w:rsidRPr="006F44AE">
              <w:t xml:space="preserve"> on or after 1 January 2021 </w:t>
            </w:r>
            <w:proofErr w:type="gramStart"/>
            <w:r w:rsidRPr="006F44AE">
              <w:t>are able to</w:t>
            </w:r>
            <w:proofErr w:type="gramEnd"/>
            <w:r w:rsidRPr="006F44AE">
              <w:t xml:space="preserve"> begin work while their applications are pending. This concession currently applies to those with a </w:t>
            </w:r>
            <w:proofErr w:type="spellStart"/>
            <w:r w:rsidRPr="006F44AE">
              <w:t>CoS</w:t>
            </w:r>
            <w:proofErr w:type="spellEnd"/>
            <w:r w:rsidRPr="006F44AE">
              <w:t xml:space="preserve"> issued before 1 January 2021, however for the reasons given we would suggest removing the reference to 1 January 2021 under the heading ‘If you’ve applied for a work visa and are waiting for a decision on your application’ (</w:t>
            </w:r>
            <w:hyperlink r:id="rId21" w:history="1">
              <w:r w:rsidRPr="006F44AE">
                <w:rPr>
                  <w:rStyle w:val="Hyperlink"/>
                  <w:color w:val="auto"/>
                </w:rPr>
                <w:t>GOV.UK</w:t>
              </w:r>
            </w:hyperlink>
            <w:r w:rsidRPr="006F44AE">
              <w:t xml:space="preserve">) so that anyone issued with </w:t>
            </w:r>
            <w:proofErr w:type="spellStart"/>
            <w:r w:rsidRPr="006F44AE">
              <w:t>CoS</w:t>
            </w:r>
            <w:proofErr w:type="spellEnd"/>
            <w:r w:rsidRPr="006F44AE">
              <w:t xml:space="preserve"> is able to begin work.</w:t>
            </w:r>
          </w:p>
          <w:p w14:paraId="2B09DBB5" w14:textId="4ADD9603" w:rsidR="005E4D6B" w:rsidRPr="006F44AE" w:rsidRDefault="005E4D6B" w:rsidP="005E4D6B">
            <w:pPr>
              <w:widowControl w:val="0"/>
              <w:spacing w:line="240" w:lineRule="auto"/>
              <w:jc w:val="both"/>
            </w:pPr>
          </w:p>
        </w:tc>
        <w:tc>
          <w:tcPr>
            <w:tcW w:w="7938" w:type="dxa"/>
            <w:shd w:val="clear" w:color="auto" w:fill="auto"/>
            <w:tcMar>
              <w:top w:w="100" w:type="dxa"/>
              <w:left w:w="100" w:type="dxa"/>
              <w:bottom w:w="100" w:type="dxa"/>
              <w:right w:w="100" w:type="dxa"/>
            </w:tcMar>
          </w:tcPr>
          <w:p w14:paraId="09053BCD" w14:textId="40D95425" w:rsidR="0028130E" w:rsidRPr="00E82478" w:rsidRDefault="0028130E" w:rsidP="0028130E">
            <w:pPr>
              <w:spacing w:line="240" w:lineRule="auto"/>
            </w:pPr>
            <w:r w:rsidRPr="00E82478">
              <w:rPr>
                <w:rFonts w:eastAsia="Times New Roman"/>
                <w:color w:val="0B0C0C"/>
                <w:lang w:val="en-GB"/>
              </w:rPr>
              <w:lastRenderedPageBreak/>
              <w:t xml:space="preserve">George has raised this with Policy and legal </w:t>
            </w:r>
            <w:r w:rsidR="004A7729" w:rsidRPr="00E82478">
              <w:rPr>
                <w:rFonts w:eastAsia="Times New Roman"/>
                <w:color w:val="0B0C0C"/>
                <w:lang w:val="en-GB"/>
              </w:rPr>
              <w:t>advisors,</w:t>
            </w:r>
            <w:r w:rsidRPr="00E82478">
              <w:rPr>
                <w:rFonts w:eastAsia="Times New Roman"/>
                <w:color w:val="0B0C0C"/>
                <w:lang w:val="en-GB"/>
              </w:rPr>
              <w:t xml:space="preserve"> and we hope to update you at the next</w:t>
            </w:r>
            <w:r w:rsidR="004A7729" w:rsidRPr="00E82478">
              <w:rPr>
                <w:rFonts w:eastAsia="Times New Roman"/>
                <w:color w:val="0B0C0C"/>
                <w:lang w:val="en-GB"/>
              </w:rPr>
              <w:t xml:space="preserve"> call</w:t>
            </w:r>
            <w:r w:rsidRPr="00E82478">
              <w:rPr>
                <w:rFonts w:eastAsia="Times New Roman"/>
                <w:color w:val="0B0C0C"/>
                <w:lang w:val="en-GB"/>
              </w:rPr>
              <w:t xml:space="preserve">. </w:t>
            </w:r>
          </w:p>
          <w:p w14:paraId="343E6DC5" w14:textId="2DFE1F58" w:rsidR="006E661C" w:rsidRPr="006F44AE" w:rsidRDefault="006E661C" w:rsidP="003A0C2F">
            <w:pPr>
              <w:widowControl w:val="0"/>
              <w:spacing w:line="240" w:lineRule="auto"/>
            </w:pPr>
          </w:p>
        </w:tc>
      </w:tr>
      <w:tr w:rsidR="006E661C" w:rsidRPr="006F44AE" w14:paraId="0DC2A079" w14:textId="77777777" w:rsidTr="00940543">
        <w:tc>
          <w:tcPr>
            <w:tcW w:w="5519" w:type="dxa"/>
            <w:shd w:val="clear" w:color="auto" w:fill="auto"/>
            <w:tcMar>
              <w:top w:w="100" w:type="dxa"/>
              <w:left w:w="100" w:type="dxa"/>
              <w:bottom w:w="100" w:type="dxa"/>
              <w:right w:w="100" w:type="dxa"/>
            </w:tcMar>
          </w:tcPr>
          <w:p w14:paraId="083D79E6" w14:textId="77777777" w:rsidR="006E661C" w:rsidRPr="006F44AE" w:rsidRDefault="006E661C" w:rsidP="006E661C">
            <w:pPr>
              <w:widowControl w:val="0"/>
              <w:numPr>
                <w:ilvl w:val="0"/>
                <w:numId w:val="2"/>
              </w:numPr>
              <w:spacing w:line="240" w:lineRule="auto"/>
              <w:rPr>
                <w:b/>
              </w:rPr>
            </w:pPr>
            <w:bookmarkStart w:id="7" w:name="_Hlk63758044"/>
            <w:bookmarkEnd w:id="6"/>
            <w:r w:rsidRPr="006F44AE">
              <w:rPr>
                <w:b/>
              </w:rPr>
              <w:t xml:space="preserve"> ILR for skilled workers where leave lapses overseas. </w:t>
            </w:r>
          </w:p>
          <w:p w14:paraId="397A0F79" w14:textId="77777777" w:rsidR="006E661C" w:rsidRPr="006F44AE" w:rsidRDefault="006E661C" w:rsidP="006E661C">
            <w:pPr>
              <w:widowControl w:val="0"/>
              <w:spacing w:line="240" w:lineRule="auto"/>
              <w:jc w:val="both"/>
              <w:rPr>
                <w:b/>
              </w:rPr>
            </w:pPr>
          </w:p>
          <w:p w14:paraId="1AB06129" w14:textId="77777777" w:rsidR="006E661C" w:rsidRPr="006F44AE" w:rsidRDefault="006E661C" w:rsidP="006E661C">
            <w:pPr>
              <w:widowControl w:val="0"/>
              <w:spacing w:line="240" w:lineRule="auto"/>
              <w:ind w:left="360"/>
              <w:jc w:val="both"/>
            </w:pPr>
            <w:r w:rsidRPr="006F44AE">
              <w:t xml:space="preserve">We are aware of Tier 2 (General) visa holders who became stranded outside the UK due to Covid-19, and whose visas lapsed while outside the UK. They have subsequently been granted further Tier 2 (General)/Skilled worker status and have now returned to the UK. </w:t>
            </w:r>
          </w:p>
          <w:p w14:paraId="7B8C3151" w14:textId="77777777" w:rsidR="006E661C" w:rsidRPr="006F44AE" w:rsidRDefault="006E661C" w:rsidP="006E661C">
            <w:pPr>
              <w:widowControl w:val="0"/>
              <w:spacing w:line="240" w:lineRule="auto"/>
              <w:jc w:val="both"/>
            </w:pPr>
          </w:p>
          <w:p w14:paraId="4C4CDEF2" w14:textId="77777777" w:rsidR="006E661C" w:rsidRPr="006F44AE" w:rsidRDefault="006E661C" w:rsidP="006E661C">
            <w:pPr>
              <w:widowControl w:val="0"/>
              <w:spacing w:line="240" w:lineRule="auto"/>
              <w:ind w:left="360"/>
              <w:jc w:val="both"/>
            </w:pPr>
            <w:r w:rsidRPr="006F44AE">
              <w:t xml:space="preserve">The current guidance states that after 24 November 2016: </w:t>
            </w:r>
          </w:p>
          <w:p w14:paraId="3C11C0C2" w14:textId="77777777" w:rsidR="006E661C" w:rsidRPr="006F44AE" w:rsidRDefault="006E661C" w:rsidP="006E661C"/>
          <w:p w14:paraId="101C99F6" w14:textId="77777777" w:rsidR="006E661C" w:rsidRPr="006F44AE" w:rsidRDefault="006E661C" w:rsidP="006E661C">
            <w:pPr>
              <w:widowControl w:val="0"/>
              <w:spacing w:line="240" w:lineRule="auto"/>
              <w:ind w:left="360"/>
              <w:jc w:val="both"/>
              <w:rPr>
                <w:i/>
                <w:sz w:val="23"/>
                <w:szCs w:val="23"/>
              </w:rPr>
            </w:pPr>
            <w:r w:rsidRPr="006F44AE">
              <w:rPr>
                <w:i/>
                <w:sz w:val="23"/>
                <w:szCs w:val="23"/>
              </w:rPr>
              <w:t>“</w:t>
            </w:r>
            <w:r w:rsidRPr="006F44AE">
              <w:rPr>
                <w:i/>
              </w:rPr>
              <w:t>If</w:t>
            </w:r>
            <w:r w:rsidRPr="006F44AE">
              <w:rPr>
                <w:i/>
                <w:sz w:val="23"/>
                <w:szCs w:val="23"/>
              </w:rPr>
              <w:t xml:space="preserve"> an applicant’s leave expires whilst they are outside the UK and they apply for new entry clearance more than 14 days after their previous leave expires, for any reason, the continuous period is </w:t>
            </w:r>
            <w:proofErr w:type="gramStart"/>
            <w:r w:rsidRPr="006F44AE">
              <w:rPr>
                <w:i/>
                <w:sz w:val="23"/>
                <w:szCs w:val="23"/>
              </w:rPr>
              <w:t>broken</w:t>
            </w:r>
            <w:proofErr w:type="gramEnd"/>
            <w:r w:rsidRPr="006F44AE">
              <w:rPr>
                <w:i/>
                <w:sz w:val="23"/>
                <w:szCs w:val="23"/>
              </w:rPr>
              <w:t xml:space="preserve"> and leave is not aggregated. The continuous period would also be broken where the gap is within 14 days, but you do not consider the reasons provided to be sufficiently compelling.”</w:t>
            </w:r>
          </w:p>
          <w:p w14:paraId="344B30C9" w14:textId="77777777" w:rsidR="006E661C" w:rsidRPr="006F44AE" w:rsidRDefault="006E661C" w:rsidP="006E661C">
            <w:pPr>
              <w:widowControl w:val="0"/>
              <w:spacing w:line="240" w:lineRule="auto"/>
              <w:jc w:val="both"/>
            </w:pPr>
          </w:p>
          <w:p w14:paraId="439B4E42" w14:textId="77777777" w:rsidR="006E661C" w:rsidRPr="006F44AE" w:rsidRDefault="006E661C" w:rsidP="006E661C">
            <w:pPr>
              <w:pStyle w:val="ListParagraph"/>
              <w:widowControl w:val="0"/>
              <w:numPr>
                <w:ilvl w:val="0"/>
                <w:numId w:val="7"/>
              </w:numPr>
              <w:spacing w:line="240" w:lineRule="auto"/>
              <w:jc w:val="both"/>
              <w:rPr>
                <w:b/>
              </w:rPr>
            </w:pPr>
            <w:r w:rsidRPr="006F44AE">
              <w:rPr>
                <w:b/>
              </w:rPr>
              <w:t xml:space="preserve">We recommend that similar provisions for these workers be put in place for those unable to apply within 14 days of their previous leave expiry (e.g. because application </w:t>
            </w:r>
            <w:proofErr w:type="spellStart"/>
            <w:r w:rsidRPr="006F44AE">
              <w:rPr>
                <w:b/>
              </w:rPr>
              <w:t>centres</w:t>
            </w:r>
            <w:proofErr w:type="spellEnd"/>
            <w:r w:rsidRPr="006F44AE">
              <w:rPr>
                <w:b/>
              </w:rPr>
              <w:t xml:space="preserve"> were closed) as has been introduced for returning residents whose leave lapses while overseas (see 12 above) to support a grant of ILR if the gap in leave is due to Covid-19. </w:t>
            </w:r>
          </w:p>
          <w:p w14:paraId="1CCDE738" w14:textId="2A3BD806" w:rsidR="006E661C" w:rsidRPr="006F44AE" w:rsidRDefault="006E661C" w:rsidP="006E661C">
            <w:pPr>
              <w:widowControl w:val="0"/>
              <w:spacing w:line="240" w:lineRule="auto"/>
              <w:ind w:left="720"/>
              <w:rPr>
                <w:b/>
              </w:rPr>
            </w:pPr>
          </w:p>
        </w:tc>
        <w:tc>
          <w:tcPr>
            <w:tcW w:w="7938" w:type="dxa"/>
            <w:shd w:val="clear" w:color="auto" w:fill="auto"/>
            <w:tcMar>
              <w:top w:w="100" w:type="dxa"/>
              <w:left w:w="100" w:type="dxa"/>
              <w:bottom w:w="100" w:type="dxa"/>
              <w:right w:w="100" w:type="dxa"/>
            </w:tcMar>
          </w:tcPr>
          <w:p w14:paraId="222C04D8" w14:textId="7B90506B" w:rsidR="006E661C" w:rsidRPr="006F44AE" w:rsidRDefault="006E661C" w:rsidP="003A0C2F">
            <w:pPr>
              <w:rPr>
                <w:rFonts w:eastAsia="Times New Roman"/>
                <w:color w:val="1F497D"/>
              </w:rPr>
            </w:pPr>
            <w:r w:rsidRPr="006F44AE">
              <w:rPr>
                <w:rFonts w:eastAsia="Times New Roman"/>
              </w:rPr>
              <w:lastRenderedPageBreak/>
              <w:t>We are considering this and other Covid-19 issues relating to ILR for a future update to our rules and guidance.  Our principle is applicants should not be disadvantaged due to Covid-19 related circumstances which were outside their control.</w:t>
            </w:r>
          </w:p>
        </w:tc>
      </w:tr>
      <w:tr w:rsidR="006E661C" w:rsidRPr="006F44AE" w14:paraId="041061DC" w14:textId="77777777" w:rsidTr="00940543">
        <w:tc>
          <w:tcPr>
            <w:tcW w:w="5519" w:type="dxa"/>
            <w:shd w:val="clear" w:color="auto" w:fill="auto"/>
            <w:tcMar>
              <w:top w:w="100" w:type="dxa"/>
              <w:left w:w="100" w:type="dxa"/>
              <w:bottom w:w="100" w:type="dxa"/>
              <w:right w:w="100" w:type="dxa"/>
            </w:tcMar>
          </w:tcPr>
          <w:p w14:paraId="1C0EF203" w14:textId="77777777" w:rsidR="006E661C" w:rsidRPr="006F44AE" w:rsidRDefault="006E661C" w:rsidP="006E661C">
            <w:pPr>
              <w:widowControl w:val="0"/>
              <w:numPr>
                <w:ilvl w:val="0"/>
                <w:numId w:val="2"/>
              </w:numPr>
              <w:spacing w:line="240" w:lineRule="auto"/>
              <w:rPr>
                <w:b/>
              </w:rPr>
            </w:pPr>
            <w:bookmarkStart w:id="8" w:name="_Hlk63776633"/>
            <w:bookmarkEnd w:id="7"/>
            <w:r w:rsidRPr="006F44AE">
              <w:rPr>
                <w:b/>
              </w:rPr>
              <w:t>Travel bans and third country nationals with “residence rights”.</w:t>
            </w:r>
          </w:p>
          <w:p w14:paraId="04671BA9" w14:textId="77777777" w:rsidR="006E661C" w:rsidRPr="006F44AE" w:rsidRDefault="006E661C" w:rsidP="006E661C">
            <w:pPr>
              <w:widowControl w:val="0"/>
              <w:spacing w:line="240" w:lineRule="auto"/>
              <w:rPr>
                <w:b/>
              </w:rPr>
            </w:pPr>
          </w:p>
          <w:p w14:paraId="029CC936" w14:textId="77777777" w:rsidR="006E661C" w:rsidRPr="006F44AE" w:rsidRDefault="006E661C" w:rsidP="006E661C">
            <w:pPr>
              <w:widowControl w:val="0"/>
              <w:spacing w:line="240" w:lineRule="auto"/>
              <w:ind w:left="360"/>
              <w:jc w:val="both"/>
            </w:pPr>
            <w:r w:rsidRPr="006F44AE">
              <w:t>The current webpage states the following:</w:t>
            </w:r>
          </w:p>
          <w:p w14:paraId="53DFD38A" w14:textId="77777777" w:rsidR="006E661C" w:rsidRPr="006F44AE" w:rsidRDefault="006E661C" w:rsidP="006E661C">
            <w:pPr>
              <w:widowControl w:val="0"/>
              <w:spacing w:line="240" w:lineRule="auto"/>
            </w:pPr>
          </w:p>
          <w:p w14:paraId="4CC33472" w14:textId="77777777" w:rsidR="006E661C" w:rsidRPr="006F44AE" w:rsidRDefault="006E661C" w:rsidP="006E661C">
            <w:pPr>
              <w:widowControl w:val="0"/>
              <w:spacing w:line="240" w:lineRule="auto"/>
              <w:ind w:left="360"/>
              <w:jc w:val="both"/>
              <w:rPr>
                <w:i/>
                <w:color w:val="0B0C0C"/>
                <w:sz w:val="29"/>
                <w:szCs w:val="29"/>
                <w:shd w:val="clear" w:color="auto" w:fill="FFFFFF"/>
              </w:rPr>
            </w:pPr>
            <w:r w:rsidRPr="006F44AE">
              <w:rPr>
                <w:i/>
              </w:rPr>
              <w:t xml:space="preserve">“British and Irish Nationals, or third country nationals with residence rights in the UK will be </w:t>
            </w:r>
            <w:r w:rsidRPr="006F44AE">
              <w:rPr>
                <w:i/>
                <w:sz w:val="23"/>
                <w:szCs w:val="23"/>
              </w:rPr>
              <w:t>able</w:t>
            </w:r>
            <w:r w:rsidRPr="006F44AE">
              <w:rPr>
                <w:i/>
              </w:rPr>
              <w:t xml:space="preserve"> to enter the UK</w:t>
            </w:r>
            <w:r w:rsidRPr="006F44AE">
              <w:t>.”</w:t>
            </w:r>
            <w:r w:rsidRPr="006F44AE">
              <w:rPr>
                <w:i/>
                <w:color w:val="0B0C0C"/>
                <w:sz w:val="29"/>
                <w:szCs w:val="29"/>
                <w:shd w:val="clear" w:color="auto" w:fill="FFFFFF"/>
              </w:rPr>
              <w:t xml:space="preserve"> </w:t>
            </w:r>
          </w:p>
          <w:p w14:paraId="77BFC5B0" w14:textId="77777777" w:rsidR="006E661C" w:rsidRPr="006F44AE" w:rsidRDefault="006E661C" w:rsidP="006E661C">
            <w:pPr>
              <w:widowControl w:val="0"/>
              <w:spacing w:line="240" w:lineRule="auto"/>
              <w:rPr>
                <w:i/>
                <w:color w:val="0B0C0C"/>
                <w:sz w:val="29"/>
                <w:szCs w:val="29"/>
                <w:shd w:val="clear" w:color="auto" w:fill="FFFFFF"/>
              </w:rPr>
            </w:pPr>
          </w:p>
          <w:p w14:paraId="130FEDB2" w14:textId="77777777" w:rsidR="006E661C" w:rsidRPr="006F44AE" w:rsidRDefault="006E661C" w:rsidP="006E661C">
            <w:pPr>
              <w:widowControl w:val="0"/>
              <w:spacing w:line="240" w:lineRule="auto"/>
              <w:ind w:left="360"/>
              <w:jc w:val="both"/>
            </w:pPr>
            <w:r w:rsidRPr="006F44AE">
              <w:t xml:space="preserve">Can we please have a clarification as to who is included under “third country nationals with residence rights”. For </w:t>
            </w:r>
            <w:proofErr w:type="gramStart"/>
            <w:r w:rsidRPr="006F44AE">
              <w:t>example</w:t>
            </w:r>
            <w:proofErr w:type="gramEnd"/>
            <w:r w:rsidRPr="006F44AE">
              <w:t xml:space="preserve"> does it include those issued with visitor visas who were due to undertake essential business activity in the UK, one which</w:t>
            </w:r>
            <w:r w:rsidRPr="006F44AE">
              <w:rPr>
                <w:b/>
              </w:rPr>
              <w:t xml:space="preserve"> </w:t>
            </w:r>
            <w:r w:rsidRPr="006F44AE">
              <w:t>is permitted under the list of exempt jobs from self-</w:t>
            </w:r>
            <w:r w:rsidRPr="006F44AE">
              <w:lastRenderedPageBreak/>
              <w:t>isolation?</w:t>
            </w:r>
          </w:p>
          <w:bookmarkEnd w:id="8"/>
          <w:p w14:paraId="298E86AC" w14:textId="77777777" w:rsidR="006E661C" w:rsidRPr="006F44AE" w:rsidRDefault="006E661C" w:rsidP="006E661C">
            <w:pPr>
              <w:widowControl w:val="0"/>
              <w:spacing w:line="240" w:lineRule="auto"/>
              <w:ind w:left="720"/>
              <w:rPr>
                <w:b/>
              </w:rPr>
            </w:pPr>
          </w:p>
        </w:tc>
        <w:tc>
          <w:tcPr>
            <w:tcW w:w="7938" w:type="dxa"/>
            <w:shd w:val="clear" w:color="auto" w:fill="auto"/>
            <w:tcMar>
              <w:top w:w="100" w:type="dxa"/>
              <w:left w:w="100" w:type="dxa"/>
              <w:bottom w:w="100" w:type="dxa"/>
              <w:right w:w="100" w:type="dxa"/>
            </w:tcMar>
          </w:tcPr>
          <w:p w14:paraId="07DEA06D" w14:textId="77777777" w:rsidR="006E661C" w:rsidRPr="006F44AE" w:rsidRDefault="006E661C" w:rsidP="00750B5B">
            <w:pPr>
              <w:rPr>
                <w:b/>
                <w:bCs/>
                <w:sz w:val="24"/>
                <w:szCs w:val="24"/>
                <w:shd w:val="clear" w:color="auto" w:fill="FFFFFF"/>
              </w:rPr>
            </w:pPr>
            <w:r w:rsidRPr="006F44AE">
              <w:rPr>
                <w:b/>
                <w:bCs/>
                <w:shd w:val="clear" w:color="auto" w:fill="FFFFFF"/>
              </w:rPr>
              <w:lastRenderedPageBreak/>
              <w:t>Who are you including in your definition of those with residence rights?</w:t>
            </w:r>
          </w:p>
          <w:p w14:paraId="02BD3D9C" w14:textId="77777777" w:rsidR="006E661C" w:rsidRPr="006F44AE" w:rsidRDefault="006E661C" w:rsidP="00750B5B">
            <w:pPr>
              <w:rPr>
                <w:b/>
                <w:bCs/>
                <w:shd w:val="clear" w:color="auto" w:fill="FFFFFF"/>
                <w:lang w:eastAsia="en-US"/>
              </w:rPr>
            </w:pPr>
          </w:p>
          <w:p w14:paraId="4D4453AC" w14:textId="789B3B5E" w:rsidR="006E661C" w:rsidRPr="006F44AE" w:rsidRDefault="006E661C" w:rsidP="004A7729">
            <w:pPr>
              <w:spacing w:line="240" w:lineRule="auto"/>
            </w:pPr>
            <w:r w:rsidRPr="006F44AE">
              <w:rPr>
                <w:shd w:val="clear" w:color="auto" w:fill="FFFFFF"/>
              </w:rPr>
              <w:t>Those with residence rights includes: holders of Indefinite Leave to Remain; holders of existing leave to enter or remain (</w:t>
            </w:r>
            <w:proofErr w:type="spellStart"/>
            <w:r w:rsidRPr="006F44AE">
              <w:rPr>
                <w:shd w:val="clear" w:color="auto" w:fill="FFFFFF"/>
              </w:rPr>
              <w:t>i.e</w:t>
            </w:r>
            <w:proofErr w:type="spellEnd"/>
            <w:r w:rsidRPr="006F44AE">
              <w:rPr>
                <w:shd w:val="clear" w:color="auto" w:fill="FFFFFF"/>
              </w:rPr>
              <w:t xml:space="preserve"> those with biometric Residence permits) or an entry clearance/visa that grants such leave e.g. students, workers, </w:t>
            </w:r>
            <w:proofErr w:type="spellStart"/>
            <w:r w:rsidRPr="006F44AE">
              <w:rPr>
                <w:shd w:val="clear" w:color="auto" w:fill="FFFFFF"/>
              </w:rPr>
              <w:t>etc</w:t>
            </w:r>
            <w:proofErr w:type="spellEnd"/>
            <w:r w:rsidRPr="006F44AE">
              <w:rPr>
                <w:shd w:val="clear" w:color="auto" w:fill="FFFFFF"/>
              </w:rPr>
              <w:t xml:space="preserve"> (but </w:t>
            </w:r>
            <w:r w:rsidRPr="006F44AE">
              <w:rPr>
                <w:u w:val="single"/>
                <w:shd w:val="clear" w:color="auto" w:fill="FFFFFF"/>
              </w:rPr>
              <w:t>excluding</w:t>
            </w:r>
            <w:r w:rsidRPr="006F44AE">
              <w:rPr>
                <w:shd w:val="clear" w:color="auto" w:fill="FFFFFF"/>
              </w:rPr>
              <w:t xml:space="preserve"> visit visas); holders of EU Settlement Scheme (“EUSS”) leave; those who have rights of entry under the Withdrawal Agreements (including returning residents with a right of residence under the EEA Regulations and EEA frontier workers); family members of EEA nationals with rights under the Withdrawal Agreement.</w:t>
            </w:r>
          </w:p>
          <w:p w14:paraId="77E6307F" w14:textId="77777777" w:rsidR="007120E4" w:rsidRPr="006F44AE" w:rsidRDefault="007120E4" w:rsidP="00750B5B">
            <w:pPr>
              <w:spacing w:before="300" w:after="300" w:line="240" w:lineRule="auto"/>
              <w:rPr>
                <w:rFonts w:eastAsia="Times New Roman"/>
                <w:color w:val="0B0C0C"/>
                <w:lang w:val="en-GB"/>
              </w:rPr>
            </w:pPr>
            <w:r w:rsidRPr="006F44AE">
              <w:rPr>
                <w:rFonts w:eastAsia="Times New Roman"/>
                <w:color w:val="0B0C0C"/>
                <w:lang w:val="en-GB"/>
              </w:rPr>
              <w:lastRenderedPageBreak/>
              <w:t>Your application decision may be delayed if you’re applying from a country where travel to the UK is suspended. You’ll receive your visa when suspension of travel is lifted if your application is successful.</w:t>
            </w:r>
          </w:p>
          <w:p w14:paraId="54DF7AE3" w14:textId="77777777" w:rsidR="007120E4" w:rsidRPr="006F44AE" w:rsidRDefault="007120E4" w:rsidP="00750B5B">
            <w:pPr>
              <w:spacing w:before="300" w:after="300" w:line="240" w:lineRule="auto"/>
              <w:rPr>
                <w:rFonts w:eastAsia="Times New Roman"/>
                <w:color w:val="0B0C0C"/>
                <w:lang w:val="en-GB"/>
              </w:rPr>
            </w:pPr>
            <w:r w:rsidRPr="006F44AE">
              <w:rPr>
                <w:rFonts w:eastAsia="Times New Roman"/>
                <w:color w:val="0B0C0C"/>
                <w:lang w:val="en-GB"/>
              </w:rPr>
              <w:t>If travel to the UK is suspended but you need to travel urgently for compassionate reasons, you’ll still need to apply for a visa in the usual way, including submitting biometrics at your chosen Visa Application Centre (VAC). You should clearly explain the compelling or compassionate reasons for your visit in your application form and alert the VAC staff during biometric submission. You’ll be contacted by UKVI once your application has been received.</w:t>
            </w:r>
          </w:p>
          <w:p w14:paraId="15D82E66" w14:textId="2178B621" w:rsidR="003A0C2F" w:rsidRPr="006F44AE" w:rsidRDefault="007120E4" w:rsidP="00750B5B">
            <w:pPr>
              <w:spacing w:line="240" w:lineRule="auto"/>
              <w:rPr>
                <w:rFonts w:eastAsia="Times New Roman"/>
                <w:color w:val="0B0C0C"/>
                <w:lang w:val="en-GB"/>
              </w:rPr>
            </w:pPr>
            <w:r w:rsidRPr="006F44AE">
              <w:rPr>
                <w:rFonts w:eastAsia="Times New Roman"/>
                <w:color w:val="0B0C0C"/>
                <w:lang w:val="en-GB"/>
              </w:rPr>
              <w:t>If you do not hear from UKVI or your request is exceptionally urgent, you can contact the Coronavirus Immigration Help Centre (CIH) by emailing </w:t>
            </w:r>
            <w:hyperlink r:id="rId22" w:history="1">
              <w:r w:rsidRPr="006F44AE">
                <w:rPr>
                  <w:rFonts w:eastAsia="Times New Roman"/>
                  <w:color w:val="4C2C92"/>
                  <w:u w:val="single"/>
                  <w:bdr w:val="none" w:sz="0" w:space="0" w:color="auto" w:frame="1"/>
                  <w:lang w:val="en-GB"/>
                </w:rPr>
                <w:t>CIH@homeoffice.gov.uk</w:t>
              </w:r>
            </w:hyperlink>
            <w:r w:rsidRPr="006F44AE">
              <w:rPr>
                <w:rFonts w:eastAsia="Times New Roman"/>
                <w:color w:val="0B0C0C"/>
                <w:lang w:val="en-GB"/>
              </w:rPr>
              <w:t>. Your email must be in English.</w:t>
            </w:r>
          </w:p>
          <w:p w14:paraId="16683457" w14:textId="77777777" w:rsidR="007120E4" w:rsidRPr="006F44AE" w:rsidRDefault="007120E4" w:rsidP="003A0C2F">
            <w:pPr>
              <w:spacing w:line="240" w:lineRule="auto"/>
              <w:rPr>
                <w:rFonts w:eastAsia="Times New Roman"/>
                <w:color w:val="0B0C0C"/>
                <w:lang w:val="en-GB"/>
              </w:rPr>
            </w:pPr>
            <w:r w:rsidRPr="006F44AE">
              <w:rPr>
                <w:rFonts w:eastAsia="Times New Roman"/>
                <w:color w:val="0B0C0C"/>
                <w:lang w:val="en-GB"/>
              </w:rPr>
              <w:t>You’ll need to:</w:t>
            </w:r>
          </w:p>
          <w:p w14:paraId="36AC9E16" w14:textId="77777777" w:rsidR="007120E4" w:rsidRPr="006F44AE" w:rsidRDefault="007120E4" w:rsidP="003A0C2F">
            <w:pPr>
              <w:numPr>
                <w:ilvl w:val="0"/>
                <w:numId w:val="23"/>
              </w:numPr>
              <w:spacing w:line="240" w:lineRule="auto"/>
              <w:ind w:left="300"/>
              <w:rPr>
                <w:color w:val="0B0C0C"/>
              </w:rPr>
            </w:pPr>
            <w:r w:rsidRPr="006F44AE">
              <w:rPr>
                <w:color w:val="0B0C0C"/>
              </w:rPr>
              <w:t xml:space="preserve">use the heading ‘Coronavirus – Urgent Visit Travel </w:t>
            </w:r>
            <w:proofErr w:type="gramStart"/>
            <w:r w:rsidRPr="006F44AE">
              <w:rPr>
                <w:color w:val="0B0C0C"/>
              </w:rPr>
              <w:t>Request ’</w:t>
            </w:r>
            <w:proofErr w:type="gramEnd"/>
            <w:r w:rsidRPr="006F44AE">
              <w:rPr>
                <w:color w:val="0B0C0C"/>
              </w:rPr>
              <w:t xml:space="preserve"> in your email</w:t>
            </w:r>
          </w:p>
          <w:p w14:paraId="1739797A" w14:textId="77777777" w:rsidR="007120E4" w:rsidRPr="006F44AE" w:rsidRDefault="007120E4" w:rsidP="003A0C2F">
            <w:pPr>
              <w:numPr>
                <w:ilvl w:val="0"/>
                <w:numId w:val="23"/>
              </w:numPr>
              <w:spacing w:line="240" w:lineRule="auto"/>
              <w:ind w:left="300"/>
              <w:rPr>
                <w:color w:val="0B0C0C"/>
              </w:rPr>
            </w:pPr>
            <w:r w:rsidRPr="006F44AE">
              <w:rPr>
                <w:color w:val="0B0C0C"/>
              </w:rPr>
              <w:t>provide your name, date of birth, visa application, GWF reference number</w:t>
            </w:r>
          </w:p>
          <w:p w14:paraId="12F5FBBD" w14:textId="77777777" w:rsidR="007120E4" w:rsidRPr="006F44AE" w:rsidRDefault="007120E4" w:rsidP="003A0C2F">
            <w:pPr>
              <w:numPr>
                <w:ilvl w:val="0"/>
                <w:numId w:val="23"/>
              </w:numPr>
              <w:spacing w:line="240" w:lineRule="auto"/>
              <w:ind w:left="300"/>
              <w:rPr>
                <w:color w:val="0B0C0C"/>
              </w:rPr>
            </w:pPr>
            <w:r w:rsidRPr="006F44AE">
              <w:rPr>
                <w:color w:val="0B0C0C"/>
              </w:rPr>
              <w:t>provide details of your circumstances</w:t>
            </w:r>
          </w:p>
          <w:p w14:paraId="5BD135F8" w14:textId="443056A0" w:rsidR="006E661C" w:rsidRPr="006F44AE" w:rsidRDefault="006E661C" w:rsidP="006E661C">
            <w:pPr>
              <w:widowControl w:val="0"/>
              <w:spacing w:line="240" w:lineRule="auto"/>
            </w:pPr>
          </w:p>
        </w:tc>
      </w:tr>
      <w:tr w:rsidR="006E661C" w:rsidRPr="006F44AE" w14:paraId="6389FE2A" w14:textId="77777777" w:rsidTr="00940543">
        <w:tc>
          <w:tcPr>
            <w:tcW w:w="5519" w:type="dxa"/>
            <w:shd w:val="clear" w:color="auto" w:fill="auto"/>
            <w:tcMar>
              <w:top w:w="100" w:type="dxa"/>
              <w:left w:w="100" w:type="dxa"/>
              <w:bottom w:w="100" w:type="dxa"/>
              <w:right w:w="100" w:type="dxa"/>
            </w:tcMar>
          </w:tcPr>
          <w:p w14:paraId="59610933" w14:textId="77777777" w:rsidR="006E661C" w:rsidRPr="006F44AE" w:rsidRDefault="006E661C" w:rsidP="006E661C">
            <w:pPr>
              <w:widowControl w:val="0"/>
              <w:numPr>
                <w:ilvl w:val="0"/>
                <w:numId w:val="2"/>
              </w:numPr>
              <w:spacing w:line="240" w:lineRule="auto"/>
              <w:rPr>
                <w:b/>
              </w:rPr>
            </w:pPr>
            <w:r w:rsidRPr="006F44AE">
              <w:rPr>
                <w:b/>
              </w:rPr>
              <w:lastRenderedPageBreak/>
              <w:t>EU Settlement Scheme and COVID concession on absences.</w:t>
            </w:r>
          </w:p>
          <w:p w14:paraId="7AAACF81" w14:textId="77777777" w:rsidR="006E661C" w:rsidRPr="006F44AE" w:rsidRDefault="006E661C" w:rsidP="006E661C">
            <w:pPr>
              <w:widowControl w:val="0"/>
              <w:spacing w:line="240" w:lineRule="auto"/>
              <w:rPr>
                <w:b/>
              </w:rPr>
            </w:pPr>
          </w:p>
          <w:p w14:paraId="05E77556" w14:textId="77777777" w:rsidR="006E661C" w:rsidRPr="006F44AE" w:rsidRDefault="006E661C" w:rsidP="006E661C">
            <w:pPr>
              <w:widowControl w:val="0"/>
              <w:spacing w:line="240" w:lineRule="auto"/>
              <w:ind w:left="360"/>
              <w:jc w:val="both"/>
            </w:pPr>
            <w:r w:rsidRPr="006F44AE">
              <w:t xml:space="preserve">The deadline to make an application under the EUSS is 30 June 2021. The guidance introduced on 15 December is causing anxiety as there are EEA nationals who are stuck </w:t>
            </w:r>
            <w:proofErr w:type="gramStart"/>
            <w:r w:rsidRPr="006F44AE">
              <w:t>overseas</w:t>
            </w:r>
            <w:proofErr w:type="gramEnd"/>
            <w:r w:rsidRPr="006F44AE">
              <w:t xml:space="preserve"> and their absences do not neatly fit within the concession. For example, those who live on their own and have decided that they would form a bubble with family members in Spain rather than be by themselves in a pandemic for fear of becoming ill and not having anyone to support them.   </w:t>
            </w:r>
          </w:p>
          <w:p w14:paraId="1B8D2642" w14:textId="77777777" w:rsidR="006E661C" w:rsidRPr="006F44AE" w:rsidRDefault="006E661C" w:rsidP="006E661C">
            <w:pPr>
              <w:widowControl w:val="0"/>
              <w:spacing w:line="240" w:lineRule="auto"/>
            </w:pPr>
          </w:p>
          <w:p w14:paraId="1101666E" w14:textId="77777777" w:rsidR="006E661C" w:rsidRPr="006F44AE" w:rsidRDefault="006E661C" w:rsidP="006E661C">
            <w:pPr>
              <w:widowControl w:val="0"/>
              <w:spacing w:line="240" w:lineRule="auto"/>
              <w:ind w:left="360"/>
              <w:jc w:val="both"/>
            </w:pPr>
            <w:r w:rsidRPr="006F44AE">
              <w:t xml:space="preserve">In March it will be a year on from when the UK went </w:t>
            </w:r>
            <w:r w:rsidRPr="006F44AE">
              <w:lastRenderedPageBreak/>
              <w:t xml:space="preserve">into its first lockdown. We are not clear why there is a limit of 12 months on the absence from the UK. This is a </w:t>
            </w:r>
            <w:proofErr w:type="gramStart"/>
            <w:r w:rsidRPr="006F44AE">
              <w:t>fast evolving</w:t>
            </w:r>
            <w:proofErr w:type="gramEnd"/>
            <w:r w:rsidRPr="006F44AE">
              <w:t xml:space="preserve"> situation and a more pragmatic and humane approach needs to be taken. </w:t>
            </w:r>
          </w:p>
          <w:p w14:paraId="7DC34321" w14:textId="77777777" w:rsidR="006E661C" w:rsidRPr="006F44AE" w:rsidRDefault="006E661C" w:rsidP="006E661C">
            <w:pPr>
              <w:widowControl w:val="0"/>
              <w:spacing w:line="240" w:lineRule="auto"/>
            </w:pPr>
          </w:p>
          <w:p w14:paraId="46F33988" w14:textId="77777777" w:rsidR="006E661C" w:rsidRPr="006F44AE" w:rsidRDefault="006E661C" w:rsidP="006E661C">
            <w:pPr>
              <w:pStyle w:val="ListParagraph"/>
              <w:widowControl w:val="0"/>
              <w:numPr>
                <w:ilvl w:val="0"/>
                <w:numId w:val="7"/>
              </w:numPr>
              <w:spacing w:line="240" w:lineRule="auto"/>
              <w:jc w:val="both"/>
              <w:rPr>
                <w:b/>
              </w:rPr>
            </w:pPr>
            <w:r w:rsidRPr="006F44AE">
              <w:rPr>
                <w:b/>
              </w:rPr>
              <w:t xml:space="preserve">We would recommend a review of this concession to </w:t>
            </w:r>
            <w:proofErr w:type="gramStart"/>
            <w:r w:rsidRPr="006F44AE">
              <w:rPr>
                <w:b/>
              </w:rPr>
              <w:t>take into account</w:t>
            </w:r>
            <w:proofErr w:type="gramEnd"/>
            <w:r w:rsidRPr="006F44AE">
              <w:rPr>
                <w:b/>
              </w:rPr>
              <w:t xml:space="preserve"> the above and we are happy to feed into this more fully. </w:t>
            </w:r>
          </w:p>
          <w:p w14:paraId="708B6181" w14:textId="77777777" w:rsidR="006E661C" w:rsidRPr="006F44AE" w:rsidRDefault="006E661C" w:rsidP="006E661C">
            <w:pPr>
              <w:widowControl w:val="0"/>
              <w:spacing w:line="240" w:lineRule="auto"/>
              <w:ind w:left="720"/>
              <w:rPr>
                <w:b/>
              </w:rPr>
            </w:pPr>
          </w:p>
        </w:tc>
        <w:tc>
          <w:tcPr>
            <w:tcW w:w="7938" w:type="dxa"/>
            <w:shd w:val="clear" w:color="auto" w:fill="auto"/>
            <w:tcMar>
              <w:top w:w="100" w:type="dxa"/>
              <w:left w:w="100" w:type="dxa"/>
              <w:bottom w:w="100" w:type="dxa"/>
              <w:right w:w="100" w:type="dxa"/>
            </w:tcMar>
          </w:tcPr>
          <w:p w14:paraId="549BADFB" w14:textId="77777777" w:rsidR="003B0289" w:rsidRPr="006F44AE" w:rsidRDefault="003B0289" w:rsidP="003B0289">
            <w:r w:rsidRPr="006F44AE">
              <w:lastRenderedPageBreak/>
              <w:t>The guidance referred to is here:</w:t>
            </w:r>
          </w:p>
          <w:p w14:paraId="736E6872" w14:textId="77777777" w:rsidR="003B0289" w:rsidRPr="006F44AE" w:rsidRDefault="00F70210" w:rsidP="003B0289">
            <w:pPr>
              <w:rPr>
                <w:color w:val="0070C0"/>
                <w:lang w:eastAsia="en-US"/>
              </w:rPr>
            </w:pPr>
            <w:hyperlink r:id="rId23" w:history="1">
              <w:r w:rsidR="003B0289" w:rsidRPr="006F44AE">
                <w:rPr>
                  <w:rStyle w:val="Hyperlink"/>
                  <w:color w:val="0070C0"/>
                </w:rPr>
                <w:t>https://www.gov.uk/guidance/coronavirus-covid-19-eu-settlement-scheme-guidance-for-applicants</w:t>
              </w:r>
            </w:hyperlink>
          </w:p>
          <w:p w14:paraId="6DA9DDB0" w14:textId="77777777" w:rsidR="003B0289" w:rsidRPr="006F44AE" w:rsidRDefault="003B0289" w:rsidP="003B0289"/>
          <w:p w14:paraId="28AAA7F1" w14:textId="77777777" w:rsidR="003B0289" w:rsidRPr="006F44AE" w:rsidRDefault="003B0289" w:rsidP="003B0289">
            <w:r w:rsidRPr="006F44AE">
              <w:t xml:space="preserve">It confirms that absence from the UK of up to 12 months is permitted – without breaking continuity of residence for EUSS purposes – where this results from illness or quarantine restrictions due to COVID-19. </w:t>
            </w:r>
          </w:p>
          <w:p w14:paraId="35F99DE5" w14:textId="77777777" w:rsidR="003B0289" w:rsidRPr="006F44AE" w:rsidRDefault="003B0289" w:rsidP="003B0289"/>
          <w:p w14:paraId="442B2FC2" w14:textId="77777777" w:rsidR="003B0289" w:rsidRPr="006F44AE" w:rsidRDefault="003B0289" w:rsidP="003B0289">
            <w:r w:rsidRPr="006F44AE">
              <w:t>Ministers were satisfied that this provided adequate flexibility for EU citizens living in the UK before the end of the transition period to continue to qualify for EUSS status, given that it had long been made clear that free movement to the UK would end at that point.</w:t>
            </w:r>
          </w:p>
          <w:p w14:paraId="47D40FF3" w14:textId="77777777" w:rsidR="003B0289" w:rsidRPr="006F44AE" w:rsidRDefault="003B0289" w:rsidP="003B0289"/>
          <w:p w14:paraId="2D74BB64" w14:textId="77777777" w:rsidR="003B0289" w:rsidRPr="006F44AE" w:rsidRDefault="003B0289" w:rsidP="003B0289">
            <w:r w:rsidRPr="006F44AE">
              <w:lastRenderedPageBreak/>
              <w:t>There are currently no plans to review the guidance.  </w:t>
            </w:r>
          </w:p>
          <w:p w14:paraId="7245A432" w14:textId="77777777" w:rsidR="003B0289" w:rsidRPr="006F44AE" w:rsidRDefault="003B0289" w:rsidP="003B0289"/>
          <w:p w14:paraId="2E28852E" w14:textId="6386BDE8" w:rsidR="006E661C" w:rsidRPr="006F44AE" w:rsidRDefault="006E661C" w:rsidP="00D24180"/>
        </w:tc>
      </w:tr>
      <w:tr w:rsidR="006E661C" w:rsidRPr="006F44AE" w14:paraId="54A3A998" w14:textId="77777777" w:rsidTr="004B25C2">
        <w:tc>
          <w:tcPr>
            <w:tcW w:w="13457" w:type="dxa"/>
            <w:gridSpan w:val="2"/>
            <w:shd w:val="clear" w:color="auto" w:fill="auto"/>
            <w:tcMar>
              <w:top w:w="100" w:type="dxa"/>
              <w:left w:w="100" w:type="dxa"/>
              <w:bottom w:w="100" w:type="dxa"/>
              <w:right w:w="100" w:type="dxa"/>
            </w:tcMar>
          </w:tcPr>
          <w:p w14:paraId="2B844105" w14:textId="77777777" w:rsidR="006E661C" w:rsidRPr="006F44AE" w:rsidRDefault="006E661C" w:rsidP="006E661C">
            <w:pPr>
              <w:rPr>
                <w:b/>
              </w:rPr>
            </w:pPr>
          </w:p>
          <w:p w14:paraId="3E57330A" w14:textId="77777777" w:rsidR="006E661C" w:rsidRPr="006F44AE" w:rsidRDefault="006E661C" w:rsidP="006E661C">
            <w:pPr>
              <w:rPr>
                <w:b/>
              </w:rPr>
            </w:pPr>
            <w:r w:rsidRPr="006F44AE">
              <w:rPr>
                <w:b/>
              </w:rPr>
              <w:t>Non-</w:t>
            </w:r>
            <w:proofErr w:type="spellStart"/>
            <w:r w:rsidRPr="006F44AE">
              <w:rPr>
                <w:b/>
              </w:rPr>
              <w:t>Covid</w:t>
            </w:r>
            <w:proofErr w:type="spellEnd"/>
            <w:r w:rsidRPr="006F44AE">
              <w:rPr>
                <w:b/>
              </w:rPr>
              <w:t xml:space="preserve"> issues</w:t>
            </w:r>
          </w:p>
          <w:p w14:paraId="0B36E95F" w14:textId="0880555B" w:rsidR="006E661C" w:rsidRPr="006F44AE" w:rsidRDefault="006E661C" w:rsidP="006E661C">
            <w:pPr>
              <w:rPr>
                <w:b/>
              </w:rPr>
            </w:pPr>
          </w:p>
        </w:tc>
      </w:tr>
      <w:tr w:rsidR="006E661C" w:rsidRPr="006F44AE" w14:paraId="11F7E097" w14:textId="77777777" w:rsidTr="00940543">
        <w:tc>
          <w:tcPr>
            <w:tcW w:w="5519" w:type="dxa"/>
            <w:shd w:val="clear" w:color="auto" w:fill="auto"/>
            <w:tcMar>
              <w:top w:w="100" w:type="dxa"/>
              <w:left w:w="100" w:type="dxa"/>
              <w:bottom w:w="100" w:type="dxa"/>
              <w:right w:w="100" w:type="dxa"/>
            </w:tcMar>
          </w:tcPr>
          <w:p w14:paraId="4C3F27A6" w14:textId="77777777" w:rsidR="006E661C" w:rsidRPr="006F44AE" w:rsidRDefault="006E661C" w:rsidP="006E661C">
            <w:pPr>
              <w:widowControl w:val="0"/>
              <w:numPr>
                <w:ilvl w:val="0"/>
                <w:numId w:val="2"/>
              </w:numPr>
              <w:spacing w:line="240" w:lineRule="auto"/>
              <w:rPr>
                <w:b/>
              </w:rPr>
            </w:pPr>
            <w:bookmarkStart w:id="9" w:name="_Hlk63757621"/>
            <w:bookmarkStart w:id="10" w:name="_Hlk63846622"/>
            <w:r w:rsidRPr="006F44AE">
              <w:rPr>
                <w:b/>
              </w:rPr>
              <w:t>RLMT</w:t>
            </w:r>
          </w:p>
          <w:bookmarkEnd w:id="9"/>
          <w:p w14:paraId="2DE0E7B1" w14:textId="77777777" w:rsidR="006E661C" w:rsidRPr="006F44AE" w:rsidRDefault="006E661C" w:rsidP="006E661C">
            <w:pPr>
              <w:widowControl w:val="0"/>
              <w:spacing w:line="240" w:lineRule="auto"/>
            </w:pPr>
          </w:p>
          <w:p w14:paraId="282549B8" w14:textId="77777777" w:rsidR="006E661C" w:rsidRPr="006F44AE" w:rsidRDefault="006E661C" w:rsidP="006E661C">
            <w:pPr>
              <w:widowControl w:val="0"/>
              <w:spacing w:line="240" w:lineRule="auto"/>
              <w:ind w:left="360"/>
              <w:jc w:val="both"/>
            </w:pPr>
            <w:bookmarkStart w:id="11" w:name="_Hlk63757595"/>
            <w:r w:rsidRPr="006F44AE">
              <w:t>On 13 January 2021, we sent the following:</w:t>
            </w:r>
          </w:p>
          <w:p w14:paraId="3989D835" w14:textId="77777777" w:rsidR="006E661C" w:rsidRPr="006F44AE" w:rsidRDefault="006E661C" w:rsidP="006E661C">
            <w:pPr>
              <w:widowControl w:val="0"/>
              <w:spacing w:line="240" w:lineRule="auto"/>
              <w:jc w:val="both"/>
            </w:pPr>
          </w:p>
          <w:p w14:paraId="78384437" w14:textId="77777777" w:rsidR="006E661C" w:rsidRPr="006F44AE" w:rsidRDefault="006E661C" w:rsidP="006E661C">
            <w:pPr>
              <w:jc w:val="both"/>
              <w:rPr>
                <w:u w:val="single"/>
              </w:rPr>
            </w:pPr>
            <w:r w:rsidRPr="006F44AE">
              <w:t>“</w:t>
            </w:r>
            <w:r w:rsidRPr="006F44AE">
              <w:rPr>
                <w:u w:val="single"/>
              </w:rPr>
              <w:t>Changes between version 1 and 2 of the guidance</w:t>
            </w:r>
          </w:p>
          <w:p w14:paraId="219DDF74" w14:textId="77777777" w:rsidR="006E661C" w:rsidRPr="006F44AE" w:rsidRDefault="006E661C" w:rsidP="006E661C">
            <w:pPr>
              <w:jc w:val="both"/>
            </w:pPr>
          </w:p>
          <w:p w14:paraId="40922727" w14:textId="77777777" w:rsidR="006E661C" w:rsidRPr="006F44AE" w:rsidRDefault="006E661C" w:rsidP="006E661C">
            <w:pPr>
              <w:jc w:val="both"/>
            </w:pPr>
            <w:r w:rsidRPr="006F44AE">
              <w:t xml:space="preserve">ILPA is concerned that the recent update to Appendix D of the Sponsor Guidance (version 2, cleared for publication on 18 December 2020) suggests that sponsors are now subject to an enhanced requirement to advertise positions, despite the abolition of the Resident </w:t>
            </w:r>
            <w:proofErr w:type="spellStart"/>
            <w:r w:rsidRPr="006F44AE">
              <w:t>Labour</w:t>
            </w:r>
            <w:proofErr w:type="spellEnd"/>
            <w:r w:rsidRPr="006F44AE">
              <w:t xml:space="preserve"> Market Test (RLMT). The guidance issued on </w:t>
            </w:r>
            <w:hyperlink r:id="rId24" w:history="1">
              <w:r w:rsidRPr="006F44AE">
                <w:rPr>
                  <w:rStyle w:val="Hyperlink"/>
                  <w:color w:val="auto"/>
                </w:rPr>
                <w:t>1 December 2020</w:t>
              </w:r>
            </w:hyperlink>
            <w:r w:rsidRPr="006F44AE">
              <w:t xml:space="preserve"> did not include this, it stated that:</w:t>
            </w:r>
          </w:p>
          <w:p w14:paraId="41F4DDFB" w14:textId="77777777" w:rsidR="006E661C" w:rsidRPr="006F44AE" w:rsidRDefault="006E661C" w:rsidP="006E661C">
            <w:pPr>
              <w:jc w:val="both"/>
            </w:pPr>
          </w:p>
          <w:p w14:paraId="69F4C5B7" w14:textId="77777777" w:rsidR="006E661C" w:rsidRPr="006F44AE" w:rsidRDefault="006E661C" w:rsidP="006E661C">
            <w:pPr>
              <w:jc w:val="both"/>
            </w:pPr>
            <w:r w:rsidRPr="006F44AE">
              <w:rPr>
                <w:b/>
                <w:bCs/>
                <w:i/>
                <w:iCs/>
              </w:rPr>
              <w:t xml:space="preserve">“Where you are required to undertake a resident </w:t>
            </w:r>
            <w:proofErr w:type="spellStart"/>
            <w:r w:rsidRPr="006F44AE">
              <w:rPr>
                <w:b/>
                <w:bCs/>
                <w:i/>
                <w:iCs/>
              </w:rPr>
              <w:t>labour</w:t>
            </w:r>
            <w:proofErr w:type="spellEnd"/>
            <w:r w:rsidRPr="006F44AE">
              <w:rPr>
                <w:b/>
                <w:bCs/>
                <w:i/>
                <w:iCs/>
              </w:rPr>
              <w:t xml:space="preserve"> market test</w:t>
            </w:r>
            <w:r w:rsidRPr="006F44AE">
              <w:t xml:space="preserve"> </w:t>
            </w:r>
            <w:r w:rsidRPr="006F44AE">
              <w:rPr>
                <w:i/>
                <w:iCs/>
              </w:rPr>
              <w:t xml:space="preserve">under the Worker or Temporary Worker routes, or you were required to undertake one under the Tier 2 and Tier 5 routes in place before 1 December 2020, you must retain the evidence set out </w:t>
            </w:r>
            <w:r w:rsidRPr="006F44AE">
              <w:rPr>
                <w:i/>
                <w:iCs/>
              </w:rPr>
              <w:lastRenderedPageBreak/>
              <w:t xml:space="preserve">below. Although there is no requirement to undertake a resident </w:t>
            </w:r>
            <w:proofErr w:type="spellStart"/>
            <w:r w:rsidRPr="006F44AE">
              <w:rPr>
                <w:i/>
                <w:iCs/>
              </w:rPr>
              <w:t>labour</w:t>
            </w:r>
            <w:proofErr w:type="spellEnd"/>
            <w:r w:rsidRPr="006F44AE">
              <w:rPr>
                <w:i/>
                <w:iCs/>
              </w:rPr>
              <w:t xml:space="preserve"> market test in all cases, if you have told us you have done so you should retain the evidence.”</w:t>
            </w:r>
            <w:r w:rsidRPr="006F44AE">
              <w:t xml:space="preserve"> [Emphasis added]</w:t>
            </w:r>
          </w:p>
          <w:p w14:paraId="6E51EE05" w14:textId="77777777" w:rsidR="006E661C" w:rsidRPr="006F44AE" w:rsidRDefault="006E661C" w:rsidP="006E661C">
            <w:pPr>
              <w:jc w:val="both"/>
            </w:pPr>
          </w:p>
          <w:p w14:paraId="58252F46" w14:textId="77777777" w:rsidR="006E661C" w:rsidRPr="006F44AE" w:rsidRDefault="006E661C" w:rsidP="006E661C">
            <w:pPr>
              <w:jc w:val="both"/>
            </w:pPr>
            <w:r w:rsidRPr="006F44AE">
              <w:t xml:space="preserve">Part 2 of </w:t>
            </w:r>
            <w:hyperlink r:id="rId25" w:history="1">
              <w:r w:rsidRPr="006F44AE">
                <w:rPr>
                  <w:rStyle w:val="Hyperlink"/>
                  <w:color w:val="auto"/>
                </w:rPr>
                <w:t>Appendix D</w:t>
              </w:r>
            </w:hyperlink>
            <w:r w:rsidRPr="006F44AE">
              <w:t xml:space="preserve"> (version 2) now states that: </w:t>
            </w:r>
          </w:p>
          <w:p w14:paraId="25937B34" w14:textId="77777777" w:rsidR="006E661C" w:rsidRPr="006F44AE" w:rsidRDefault="006E661C" w:rsidP="006E661C">
            <w:pPr>
              <w:jc w:val="both"/>
            </w:pPr>
            <w:r w:rsidRPr="006F44AE">
              <w:t> </w:t>
            </w:r>
          </w:p>
          <w:p w14:paraId="25EA4D83" w14:textId="77777777" w:rsidR="006E661C" w:rsidRPr="006F44AE" w:rsidRDefault="006E661C" w:rsidP="006E661C">
            <w:pPr>
              <w:jc w:val="both"/>
            </w:pPr>
            <w:r w:rsidRPr="006F44AE">
              <w:rPr>
                <w:i/>
                <w:iCs/>
              </w:rPr>
              <w:t xml:space="preserve">"You must retain evidence of any recruitment activity you have undertaken for the job, or jobs, in which you are sponsoring workers. </w:t>
            </w:r>
            <w:r w:rsidRPr="006F44AE">
              <w:rPr>
                <w:b/>
                <w:bCs/>
                <w:i/>
                <w:iCs/>
              </w:rPr>
              <w:t xml:space="preserve">This applies even if you were not required to undertake a formal resident </w:t>
            </w:r>
            <w:proofErr w:type="spellStart"/>
            <w:r w:rsidRPr="006F44AE">
              <w:rPr>
                <w:b/>
                <w:bCs/>
                <w:i/>
                <w:iCs/>
              </w:rPr>
              <w:t>labour</w:t>
            </w:r>
            <w:proofErr w:type="spellEnd"/>
            <w:r w:rsidRPr="006F44AE">
              <w:rPr>
                <w:b/>
                <w:bCs/>
                <w:i/>
                <w:iCs/>
              </w:rPr>
              <w:t xml:space="preserve"> market test before recruiting a migrant worker</w:t>
            </w:r>
            <w:r w:rsidRPr="006F44AE">
              <w:rPr>
                <w:i/>
                <w:iCs/>
              </w:rPr>
              <w:t>. If you did not advertise the role, you must be able to explain:</w:t>
            </w:r>
          </w:p>
          <w:p w14:paraId="28AC6957" w14:textId="77777777" w:rsidR="006E661C" w:rsidRPr="006F44AE" w:rsidRDefault="006E661C" w:rsidP="006E661C">
            <w:pPr>
              <w:jc w:val="both"/>
            </w:pPr>
            <w:r w:rsidRPr="006F44AE">
              <w:t> </w:t>
            </w:r>
          </w:p>
          <w:p w14:paraId="795204C5" w14:textId="77777777" w:rsidR="006E661C" w:rsidRPr="006F44AE" w:rsidRDefault="006E661C" w:rsidP="006E661C">
            <w:pPr>
              <w:pStyle w:val="ListParagraph"/>
              <w:numPr>
                <w:ilvl w:val="0"/>
                <w:numId w:val="17"/>
              </w:numPr>
              <w:spacing w:line="240" w:lineRule="auto"/>
              <w:contextualSpacing w:val="0"/>
              <w:jc w:val="both"/>
              <w:rPr>
                <w:i/>
                <w:iCs/>
              </w:rPr>
            </w:pPr>
            <w:r w:rsidRPr="006F44AE">
              <w:rPr>
                <w:i/>
                <w:iCs/>
              </w:rPr>
              <w:t>why you did not advertise it (for example, if you are sponsoring a Religious Worker in a supernumerary role, or the individual was previously legally working for you on a different type of visa)</w:t>
            </w:r>
          </w:p>
          <w:p w14:paraId="5A8DF56C" w14:textId="77777777" w:rsidR="006E661C" w:rsidRPr="006F44AE" w:rsidRDefault="006E661C" w:rsidP="006E661C">
            <w:pPr>
              <w:pStyle w:val="ListParagraph"/>
              <w:numPr>
                <w:ilvl w:val="0"/>
                <w:numId w:val="17"/>
              </w:numPr>
              <w:spacing w:line="240" w:lineRule="auto"/>
              <w:contextualSpacing w:val="0"/>
              <w:jc w:val="both"/>
              <w:rPr>
                <w:i/>
                <w:iCs/>
              </w:rPr>
            </w:pPr>
            <w:r w:rsidRPr="006F44AE">
              <w:rPr>
                <w:i/>
                <w:iCs/>
              </w:rPr>
              <w:t>how you identified the individual was suitable for the role</w:t>
            </w:r>
          </w:p>
          <w:p w14:paraId="130D13D1" w14:textId="77777777" w:rsidR="006E661C" w:rsidRPr="006F44AE" w:rsidRDefault="006E661C" w:rsidP="006E661C">
            <w:pPr>
              <w:jc w:val="both"/>
            </w:pPr>
          </w:p>
          <w:p w14:paraId="77BDFBC2" w14:textId="77777777" w:rsidR="006E661C" w:rsidRPr="006F44AE" w:rsidRDefault="006E661C" w:rsidP="006E661C">
            <w:pPr>
              <w:jc w:val="both"/>
              <w:rPr>
                <w:i/>
                <w:iCs/>
              </w:rPr>
            </w:pPr>
            <w:r w:rsidRPr="006F44AE">
              <w:rPr>
                <w:i/>
                <w:iCs/>
              </w:rPr>
              <w:t xml:space="preserve">Where you have advertised the role, you must retain any relevant evidence listed in (a) to (k) below.” </w:t>
            </w:r>
            <w:r w:rsidRPr="006F44AE">
              <w:t>[Emphasis added]</w:t>
            </w:r>
          </w:p>
          <w:p w14:paraId="4E704294" w14:textId="77777777" w:rsidR="006E661C" w:rsidRPr="006F44AE" w:rsidRDefault="006E661C" w:rsidP="006E661C">
            <w:pPr>
              <w:jc w:val="both"/>
            </w:pPr>
          </w:p>
          <w:p w14:paraId="43B70068" w14:textId="77777777" w:rsidR="006E661C" w:rsidRPr="006F44AE" w:rsidRDefault="006E661C" w:rsidP="006E661C">
            <w:pPr>
              <w:jc w:val="both"/>
            </w:pPr>
            <w:r w:rsidRPr="006F44AE">
              <w:t xml:space="preserve">We would be grateful if you could confirm that the new requirements will not apply where sponsors have not advertised a position/not retained documents in reliance on version 12/20 of Appendix D, dated 1 December 2020, up until the new guidance was published on 18 December 2020. </w:t>
            </w:r>
          </w:p>
          <w:p w14:paraId="5E976B0C" w14:textId="77777777" w:rsidR="006E661C" w:rsidRPr="006F44AE" w:rsidRDefault="006E661C" w:rsidP="006E661C">
            <w:pPr>
              <w:jc w:val="both"/>
            </w:pPr>
          </w:p>
          <w:p w14:paraId="71F2A052" w14:textId="77777777" w:rsidR="006E661C" w:rsidRPr="006F44AE" w:rsidRDefault="006E661C" w:rsidP="006E661C">
            <w:pPr>
              <w:jc w:val="both"/>
              <w:rPr>
                <w:u w:val="single"/>
              </w:rPr>
            </w:pPr>
            <w:r w:rsidRPr="006F44AE">
              <w:rPr>
                <w:u w:val="single"/>
              </w:rPr>
              <w:t>Clarification sought on the abolition of the RLMT</w:t>
            </w:r>
          </w:p>
          <w:p w14:paraId="03FD5863" w14:textId="77777777" w:rsidR="006E661C" w:rsidRPr="006F44AE" w:rsidRDefault="006E661C" w:rsidP="006E661C">
            <w:pPr>
              <w:jc w:val="both"/>
            </w:pPr>
          </w:p>
          <w:p w14:paraId="29348557" w14:textId="77777777" w:rsidR="006E661C" w:rsidRPr="006F44AE" w:rsidRDefault="006E661C" w:rsidP="006E661C">
            <w:pPr>
              <w:jc w:val="both"/>
            </w:pPr>
            <w:r w:rsidRPr="006F44AE">
              <w:t xml:space="preserve">In relation to the enhanced requirements in the current version of the guidance, Part 2 now applies to </w:t>
            </w:r>
            <w:r w:rsidRPr="006F44AE">
              <w:rPr>
                <w:i/>
                <w:iCs/>
              </w:rPr>
              <w:t>any recruitment activity undertaken</w:t>
            </w:r>
            <w:r w:rsidRPr="006F44AE">
              <w:t>, regardless of whether a formal RLMT was previously required. It appears that Shortage Occupations and student switches which were previously exempt from the RLMT will need to be advertised under the new guidance. Please can you confirm whether this is correct?</w:t>
            </w:r>
          </w:p>
          <w:p w14:paraId="5EEC16FF" w14:textId="77777777" w:rsidR="006E661C" w:rsidRPr="006F44AE" w:rsidRDefault="006E661C" w:rsidP="006E661C">
            <w:pPr>
              <w:jc w:val="both"/>
            </w:pPr>
          </w:p>
          <w:p w14:paraId="223B1DEA" w14:textId="77777777" w:rsidR="006E661C" w:rsidRPr="006F44AE" w:rsidRDefault="006E661C" w:rsidP="006E661C">
            <w:pPr>
              <w:jc w:val="both"/>
            </w:pPr>
            <w:r w:rsidRPr="006F44AE">
              <w:t>Although we appreciate that many sponsors will have advertised roles and that evidence of this will be helpful to UKVI in assessing the genuineness of the role, Appendix D now suggests a prescriptive RLMT requirement is still in place and that sponsors will be in breach if they have:</w:t>
            </w:r>
          </w:p>
          <w:p w14:paraId="50F7555A" w14:textId="77777777" w:rsidR="006E661C" w:rsidRPr="006F44AE" w:rsidRDefault="006E661C" w:rsidP="006E661C">
            <w:pPr>
              <w:jc w:val="both"/>
            </w:pPr>
            <w:r w:rsidRPr="006F44AE">
              <w:t> </w:t>
            </w:r>
          </w:p>
          <w:p w14:paraId="3B923224" w14:textId="77777777" w:rsidR="006E661C" w:rsidRPr="006F44AE" w:rsidRDefault="006E661C" w:rsidP="006E661C">
            <w:pPr>
              <w:pStyle w:val="ListParagraph"/>
              <w:numPr>
                <w:ilvl w:val="0"/>
                <w:numId w:val="18"/>
              </w:numPr>
              <w:spacing w:line="240" w:lineRule="auto"/>
              <w:contextualSpacing w:val="0"/>
              <w:jc w:val="both"/>
            </w:pPr>
            <w:r w:rsidRPr="006F44AE">
              <w:t xml:space="preserve">not advertised a vacancy at all (unless satisfactory reasons are provided), </w:t>
            </w:r>
          </w:p>
          <w:p w14:paraId="729A5DC0" w14:textId="77777777" w:rsidR="006E661C" w:rsidRPr="006F44AE" w:rsidRDefault="006E661C" w:rsidP="006E661C">
            <w:pPr>
              <w:pStyle w:val="ListParagraph"/>
              <w:numPr>
                <w:ilvl w:val="0"/>
                <w:numId w:val="18"/>
              </w:numPr>
              <w:spacing w:line="240" w:lineRule="auto"/>
              <w:contextualSpacing w:val="0"/>
              <w:jc w:val="both"/>
            </w:pPr>
            <w:r w:rsidRPr="006F44AE">
              <w:t>advertised in a way that does not comply with any of the ways set out in Appendix D, or</w:t>
            </w:r>
          </w:p>
          <w:p w14:paraId="270B8450" w14:textId="77777777" w:rsidR="006E661C" w:rsidRPr="006F44AE" w:rsidRDefault="006E661C" w:rsidP="006E661C">
            <w:pPr>
              <w:pStyle w:val="ListParagraph"/>
              <w:numPr>
                <w:ilvl w:val="0"/>
                <w:numId w:val="18"/>
              </w:numPr>
              <w:spacing w:line="240" w:lineRule="auto"/>
              <w:contextualSpacing w:val="0"/>
              <w:jc w:val="both"/>
            </w:pPr>
            <w:r w:rsidRPr="006F44AE">
              <w:t>not retained evidence of advertising in a manner prescribed by Appendix D.</w:t>
            </w:r>
          </w:p>
          <w:p w14:paraId="7FDFCAC0" w14:textId="77777777" w:rsidR="006E661C" w:rsidRPr="006F44AE" w:rsidRDefault="006E661C" w:rsidP="006E661C">
            <w:pPr>
              <w:jc w:val="both"/>
              <w:rPr>
                <w:lang w:val="en-US"/>
              </w:rPr>
            </w:pPr>
          </w:p>
          <w:p w14:paraId="477211D9" w14:textId="77777777" w:rsidR="006E661C" w:rsidRPr="006F44AE" w:rsidRDefault="006E661C" w:rsidP="006E661C">
            <w:pPr>
              <w:jc w:val="both"/>
              <w:rPr>
                <w:lang w:val="en-GB"/>
              </w:rPr>
            </w:pPr>
            <w:r w:rsidRPr="006F44AE">
              <w:t xml:space="preserve">This does not appear to be in line with earlier statements regarding the RLMT. You will recall that the </w:t>
            </w:r>
            <w:hyperlink r:id="rId26" w:history="1">
              <w:r w:rsidRPr="006F44AE">
                <w:rPr>
                  <w:rStyle w:val="Hyperlink"/>
                  <w:color w:val="auto"/>
                </w:rPr>
                <w:t>Further Details Statement</w:t>
              </w:r>
            </w:hyperlink>
            <w:r w:rsidRPr="006F44AE">
              <w:t>, published 4 August 2020, said that:</w:t>
            </w:r>
          </w:p>
          <w:p w14:paraId="7E239376" w14:textId="77777777" w:rsidR="006E661C" w:rsidRPr="006F44AE" w:rsidRDefault="006E661C" w:rsidP="006E661C">
            <w:pPr>
              <w:jc w:val="both"/>
            </w:pPr>
            <w:r w:rsidRPr="006F44AE">
              <w:t> </w:t>
            </w:r>
          </w:p>
          <w:p w14:paraId="35DD09B5" w14:textId="77777777" w:rsidR="006E661C" w:rsidRPr="006F44AE" w:rsidRDefault="006E661C" w:rsidP="006E661C">
            <w:pPr>
              <w:jc w:val="both"/>
              <w:rPr>
                <w:b/>
                <w:bCs/>
                <w:i/>
                <w:iCs/>
              </w:rPr>
            </w:pPr>
            <w:r w:rsidRPr="006F44AE">
              <w:rPr>
                <w:b/>
                <w:bCs/>
                <w:i/>
                <w:iCs/>
              </w:rPr>
              <w:t xml:space="preserve">“Abolishing the Resident </w:t>
            </w:r>
            <w:proofErr w:type="spellStart"/>
            <w:r w:rsidRPr="006F44AE">
              <w:rPr>
                <w:b/>
                <w:bCs/>
                <w:i/>
                <w:iCs/>
              </w:rPr>
              <w:t>Labour</w:t>
            </w:r>
            <w:proofErr w:type="spellEnd"/>
            <w:r w:rsidRPr="006F44AE">
              <w:rPr>
                <w:b/>
                <w:bCs/>
                <w:i/>
                <w:iCs/>
              </w:rPr>
              <w:t xml:space="preserve"> Market Test (RLMT)</w:t>
            </w:r>
          </w:p>
          <w:p w14:paraId="7BCA37B2" w14:textId="77777777" w:rsidR="006E661C" w:rsidRPr="006F44AE" w:rsidRDefault="006E661C" w:rsidP="006E661C">
            <w:pPr>
              <w:jc w:val="both"/>
              <w:rPr>
                <w:i/>
                <w:iCs/>
              </w:rPr>
            </w:pPr>
            <w:r w:rsidRPr="006F44AE">
              <w:rPr>
                <w:i/>
                <w:iCs/>
              </w:rPr>
              <w:lastRenderedPageBreak/>
              <w:t>20. Under the new Skilled Worker route there will be no requirement for employers to undertake a RLMT. This reform will remove at least four weeks from the end-to-end process for sponsoring skilled workers. However, sponsors must still be seeking to fill a genuine vacancy which meets the skill and salary thresholds of the new route. Roles cannot be created solely to facilitate immigration of a specific migrant to the UK.”</w:t>
            </w:r>
          </w:p>
          <w:p w14:paraId="17C7AACB" w14:textId="77777777" w:rsidR="006E661C" w:rsidRPr="006F44AE" w:rsidRDefault="006E661C" w:rsidP="006E661C">
            <w:pPr>
              <w:jc w:val="both"/>
              <w:rPr>
                <w:i/>
                <w:iCs/>
              </w:rPr>
            </w:pPr>
            <w:r w:rsidRPr="006F44AE">
              <w:rPr>
                <w:i/>
                <w:iCs/>
              </w:rPr>
              <w:t> </w:t>
            </w:r>
          </w:p>
          <w:p w14:paraId="61EFDC6D" w14:textId="77777777" w:rsidR="006E661C" w:rsidRPr="006F44AE" w:rsidRDefault="006E661C" w:rsidP="006E661C">
            <w:pPr>
              <w:jc w:val="both"/>
            </w:pPr>
            <w:r w:rsidRPr="006F44AE">
              <w:t>Many of our members are currently very concerned as to how they should be advising sponsors in relation to this requirement. We should be grateful for your urgent confirmation that the evidence of advertising set out in Appendix D is intended to be illustrative only and that Appendix D will be clarified at the earliest opportunity.</w:t>
            </w:r>
          </w:p>
          <w:p w14:paraId="49E821A8" w14:textId="77777777" w:rsidR="006E661C" w:rsidRPr="006F44AE" w:rsidRDefault="006E661C" w:rsidP="006E661C">
            <w:pPr>
              <w:jc w:val="both"/>
            </w:pPr>
            <w:r w:rsidRPr="006F44AE">
              <w:t> </w:t>
            </w:r>
          </w:p>
          <w:p w14:paraId="695FFEA0" w14:textId="77777777" w:rsidR="006E661C" w:rsidRPr="006F44AE" w:rsidRDefault="006E661C" w:rsidP="006E661C">
            <w:pPr>
              <w:jc w:val="both"/>
            </w:pPr>
            <w:r w:rsidRPr="006F44AE">
              <w:t>We look forward to hearing from you on these issues.”</w:t>
            </w:r>
          </w:p>
          <w:p w14:paraId="22B81CBD" w14:textId="77777777" w:rsidR="006E661C" w:rsidRPr="006F44AE" w:rsidRDefault="006E661C" w:rsidP="006E661C">
            <w:r w:rsidRPr="006F44AE">
              <w:t> </w:t>
            </w:r>
          </w:p>
          <w:p w14:paraId="0C33459F" w14:textId="77777777" w:rsidR="006E661C" w:rsidRPr="006F44AE" w:rsidRDefault="006E661C" w:rsidP="006E661C">
            <w:pPr>
              <w:pStyle w:val="ListParagraph"/>
              <w:numPr>
                <w:ilvl w:val="0"/>
                <w:numId w:val="18"/>
              </w:numPr>
              <w:jc w:val="both"/>
              <w:rPr>
                <w:b/>
              </w:rPr>
            </w:pPr>
            <w:r w:rsidRPr="006F44AE">
              <w:rPr>
                <w:b/>
              </w:rPr>
              <w:t xml:space="preserve">We would appreciate a substantive response to these concerns about the Appendix D Sponsor Guidance. </w:t>
            </w:r>
          </w:p>
          <w:bookmarkEnd w:id="11"/>
          <w:p w14:paraId="77A0B304" w14:textId="77777777" w:rsidR="006E661C" w:rsidRPr="006F44AE" w:rsidRDefault="006E661C" w:rsidP="006E661C">
            <w:pPr>
              <w:widowControl w:val="0"/>
              <w:spacing w:line="240" w:lineRule="auto"/>
              <w:ind w:left="720"/>
              <w:rPr>
                <w:b/>
              </w:rPr>
            </w:pPr>
          </w:p>
        </w:tc>
        <w:tc>
          <w:tcPr>
            <w:tcW w:w="7938" w:type="dxa"/>
            <w:shd w:val="clear" w:color="auto" w:fill="auto"/>
            <w:tcMar>
              <w:top w:w="100" w:type="dxa"/>
              <w:left w:w="100" w:type="dxa"/>
              <w:bottom w:w="100" w:type="dxa"/>
              <w:right w:w="100" w:type="dxa"/>
            </w:tcMar>
          </w:tcPr>
          <w:p w14:paraId="260298C4" w14:textId="77777777" w:rsidR="006E661C" w:rsidRPr="006F44AE" w:rsidRDefault="00F70210" w:rsidP="006E661C">
            <w:pPr>
              <w:widowControl w:val="0"/>
              <w:spacing w:line="240" w:lineRule="auto"/>
            </w:pPr>
            <w:hyperlink r:id="rId27" w:history="1">
              <w:r w:rsidR="006E661C" w:rsidRPr="006F44AE">
                <w:rPr>
                  <w:rStyle w:val="Hyperlink"/>
                </w:rPr>
                <w:t>Appendix D</w:t>
              </w:r>
            </w:hyperlink>
            <w:r w:rsidR="006E661C" w:rsidRPr="006F44AE">
              <w:t xml:space="preserve"> (last updated 18 December 2020)</w:t>
            </w:r>
          </w:p>
          <w:p w14:paraId="4CAB4CED" w14:textId="77777777" w:rsidR="006E661C" w:rsidRPr="006F44AE" w:rsidRDefault="006E661C" w:rsidP="006E661C"/>
          <w:p w14:paraId="78E165CA" w14:textId="77777777" w:rsidR="00820296" w:rsidRPr="006F44AE" w:rsidRDefault="00820296" w:rsidP="006E661C">
            <w:pPr>
              <w:widowControl w:val="0"/>
              <w:spacing w:line="240" w:lineRule="auto"/>
            </w:pPr>
          </w:p>
          <w:p w14:paraId="6731351E" w14:textId="591ACC05" w:rsidR="00743912" w:rsidRPr="006F44AE" w:rsidRDefault="00820296" w:rsidP="00743912">
            <w:r w:rsidRPr="006F44AE">
              <w:t xml:space="preserve">A revised version </w:t>
            </w:r>
            <w:r w:rsidR="003A0C2F" w:rsidRPr="006F44AE">
              <w:t xml:space="preserve">of </w:t>
            </w:r>
            <w:r w:rsidR="00C8455C" w:rsidRPr="006F44AE">
              <w:t>the</w:t>
            </w:r>
            <w:r w:rsidR="00587975" w:rsidRPr="006F44AE">
              <w:t xml:space="preserve"> Appendix D</w:t>
            </w:r>
            <w:r w:rsidR="00C8455C" w:rsidRPr="006F44AE">
              <w:t xml:space="preserve"> </w:t>
            </w:r>
            <w:r w:rsidR="003A0C2F" w:rsidRPr="006F44AE">
              <w:t>guidance</w:t>
            </w:r>
            <w:r w:rsidRPr="006F44AE">
              <w:t xml:space="preserve"> </w:t>
            </w:r>
            <w:r w:rsidR="00743912" w:rsidRPr="006F44AE">
              <w:t>has now been published:</w:t>
            </w:r>
          </w:p>
          <w:p w14:paraId="65CFAEF1" w14:textId="77777777" w:rsidR="00743912" w:rsidRPr="006F44AE" w:rsidRDefault="00F70210" w:rsidP="00743912">
            <w:hyperlink r:id="rId28" w:history="1">
              <w:r w:rsidR="00743912" w:rsidRPr="006F44AE">
                <w:rPr>
                  <w:rStyle w:val="Hyperlink"/>
                </w:rPr>
                <w:t>https://www.gov.uk/government/publications/keep-records-for-sponsorship-appendix-d</w:t>
              </w:r>
            </w:hyperlink>
          </w:p>
          <w:p w14:paraId="6B009F9B" w14:textId="583793E2" w:rsidR="00820296" w:rsidRPr="006F44AE" w:rsidRDefault="00C8455C" w:rsidP="006E661C">
            <w:pPr>
              <w:widowControl w:val="0"/>
              <w:spacing w:line="240" w:lineRule="auto"/>
            </w:pPr>
            <w:r w:rsidRPr="006F44AE">
              <w:t>.</w:t>
            </w:r>
          </w:p>
        </w:tc>
      </w:tr>
      <w:tr w:rsidR="00F554E3" w:rsidRPr="006F44AE" w14:paraId="2EAC0B97" w14:textId="77777777" w:rsidTr="00940543">
        <w:tc>
          <w:tcPr>
            <w:tcW w:w="5519" w:type="dxa"/>
            <w:shd w:val="clear" w:color="auto" w:fill="auto"/>
            <w:tcMar>
              <w:top w:w="100" w:type="dxa"/>
              <w:left w:w="100" w:type="dxa"/>
              <w:bottom w:w="100" w:type="dxa"/>
              <w:right w:w="100" w:type="dxa"/>
            </w:tcMar>
          </w:tcPr>
          <w:p w14:paraId="330C340A" w14:textId="1B868EF8" w:rsidR="00F554E3" w:rsidRPr="006F44AE" w:rsidRDefault="00F554E3" w:rsidP="006E661C">
            <w:pPr>
              <w:widowControl w:val="0"/>
              <w:numPr>
                <w:ilvl w:val="0"/>
                <w:numId w:val="2"/>
              </w:numPr>
              <w:spacing w:line="240" w:lineRule="auto"/>
              <w:rPr>
                <w:b/>
              </w:rPr>
            </w:pPr>
            <w:r w:rsidRPr="006F44AE">
              <w:rPr>
                <w:b/>
              </w:rPr>
              <w:lastRenderedPageBreak/>
              <w:t xml:space="preserve"> Additional query </w:t>
            </w:r>
            <w:r w:rsidR="00DC7BE6" w:rsidRPr="006F44AE">
              <w:rPr>
                <w:b/>
              </w:rPr>
              <w:t xml:space="preserve">emailed </w:t>
            </w:r>
            <w:r w:rsidRPr="006F44AE">
              <w:rPr>
                <w:b/>
              </w:rPr>
              <w:t xml:space="preserve">12.2.21 </w:t>
            </w:r>
          </w:p>
          <w:p w14:paraId="0F32BEE6" w14:textId="77777777" w:rsidR="00F554E3" w:rsidRPr="006F44AE" w:rsidRDefault="00F554E3" w:rsidP="00C14021">
            <w:pPr>
              <w:widowControl w:val="0"/>
              <w:spacing w:line="240" w:lineRule="auto"/>
              <w:ind w:left="284"/>
              <w:rPr>
                <w:b/>
              </w:rPr>
            </w:pPr>
          </w:p>
          <w:p w14:paraId="72DD6421" w14:textId="034A0063" w:rsidR="00F554E3" w:rsidRPr="006F44AE" w:rsidRDefault="00F554E3" w:rsidP="00F554E3">
            <w:pPr>
              <w:widowControl w:val="0"/>
              <w:spacing w:line="240" w:lineRule="auto"/>
              <w:rPr>
                <w:b/>
              </w:rPr>
            </w:pPr>
            <w:proofErr w:type="gramStart"/>
            <w:r w:rsidRPr="006F44AE">
              <w:t>It would appear that the</w:t>
            </w:r>
            <w:proofErr w:type="gramEnd"/>
            <w:r w:rsidRPr="006F44AE">
              <w:t xml:space="preserve"> declaration on certain forms that fees will not be refunded after an application is withdrawn. However, the guidance on GOV.UK states that a fee will be refunded provided that biometric enrolment has not taken place. We’d be grateful if you could confirm which of the approaches is correct.</w:t>
            </w:r>
          </w:p>
          <w:p w14:paraId="07DE93E7" w14:textId="7635391F" w:rsidR="00F554E3" w:rsidRPr="006F44AE" w:rsidRDefault="00F554E3" w:rsidP="00F554E3">
            <w:pPr>
              <w:rPr>
                <w:b/>
              </w:rPr>
            </w:pPr>
          </w:p>
        </w:tc>
        <w:tc>
          <w:tcPr>
            <w:tcW w:w="7938" w:type="dxa"/>
            <w:shd w:val="clear" w:color="auto" w:fill="auto"/>
            <w:tcMar>
              <w:top w:w="100" w:type="dxa"/>
              <w:left w:w="100" w:type="dxa"/>
              <w:bottom w:w="100" w:type="dxa"/>
              <w:right w:w="100" w:type="dxa"/>
            </w:tcMar>
          </w:tcPr>
          <w:p w14:paraId="16947E79" w14:textId="77777777" w:rsidR="007336B4" w:rsidRPr="006F44AE" w:rsidRDefault="007336B4" w:rsidP="007336B4">
            <w:pPr>
              <w:rPr>
                <w:sz w:val="24"/>
                <w:szCs w:val="24"/>
              </w:rPr>
            </w:pPr>
          </w:p>
          <w:p w14:paraId="59C49B22" w14:textId="49769A50" w:rsidR="007336B4" w:rsidRPr="006F44AE" w:rsidRDefault="003A0C2F" w:rsidP="007336B4">
            <w:r w:rsidRPr="006F44AE">
              <w:t>A</w:t>
            </w:r>
            <w:r w:rsidR="007336B4" w:rsidRPr="006F44AE">
              <w:t xml:space="preserve">ssuming the customer has not enrolled their </w:t>
            </w:r>
            <w:proofErr w:type="gramStart"/>
            <w:r w:rsidR="007336B4" w:rsidRPr="006F44AE">
              <w:t>biometrics</w:t>
            </w:r>
            <w:proofErr w:type="gramEnd"/>
            <w:r w:rsidR="007336B4" w:rsidRPr="006F44AE">
              <w:t xml:space="preserve"> we will provide a full refund of both the application fee and IHS as we’ve not started any consideration of the application.</w:t>
            </w:r>
          </w:p>
          <w:p w14:paraId="66804383" w14:textId="77777777" w:rsidR="007336B4" w:rsidRPr="006F44AE" w:rsidRDefault="007336B4" w:rsidP="007336B4"/>
          <w:p w14:paraId="61AAE276" w14:textId="77777777" w:rsidR="007336B4" w:rsidRPr="006F44AE" w:rsidRDefault="007336B4" w:rsidP="007336B4">
            <w:r w:rsidRPr="006F44AE">
              <w:t>If the customer was to withdraw after enrolling their biometrics and we would have started the consideration and then the application fee would not be refunded, but the IHS would be.</w:t>
            </w:r>
          </w:p>
          <w:p w14:paraId="73BEBBF4" w14:textId="77777777" w:rsidR="007336B4" w:rsidRPr="006F44AE" w:rsidRDefault="007336B4" w:rsidP="007336B4"/>
          <w:p w14:paraId="773D7FD7" w14:textId="5B7328F5" w:rsidR="007336B4" w:rsidRPr="006F44AE" w:rsidRDefault="003A0C2F" w:rsidP="007336B4">
            <w:pPr>
              <w:rPr>
                <w:sz w:val="24"/>
                <w:szCs w:val="24"/>
              </w:rPr>
            </w:pPr>
            <w:r w:rsidRPr="006F44AE">
              <w:lastRenderedPageBreak/>
              <w:t>I</w:t>
            </w:r>
            <w:r w:rsidR="007336B4" w:rsidRPr="006F44AE">
              <w:t xml:space="preserve">f the ROD form </w:t>
            </w:r>
            <w:r w:rsidRPr="006F44AE">
              <w:t xml:space="preserve">is being used then the assumption is that it concerns </w:t>
            </w:r>
            <w:r w:rsidR="007336B4" w:rsidRPr="006F44AE">
              <w:t>an in</w:t>
            </w:r>
            <w:r w:rsidR="00E82478">
              <w:t>-</w:t>
            </w:r>
            <w:r w:rsidR="007336B4" w:rsidRPr="006F44AE">
              <w:t xml:space="preserve"> country application</w:t>
            </w:r>
            <w:r w:rsidRPr="006F44AE">
              <w:t>, to note that</w:t>
            </w:r>
            <w:r w:rsidR="00E82478">
              <w:t xml:space="preserve"> </w:t>
            </w:r>
            <w:r w:rsidR="007336B4" w:rsidRPr="006F44AE">
              <w:t xml:space="preserve">if they </w:t>
            </w:r>
            <w:proofErr w:type="gramStart"/>
            <w:r w:rsidR="007336B4" w:rsidRPr="006F44AE">
              <w:t>withdraw</w:t>
            </w:r>
            <w:proofErr w:type="gramEnd"/>
            <w:r w:rsidR="007336B4" w:rsidRPr="006F44AE">
              <w:t xml:space="preserve"> they might end up without valid status in the UK and a gap in their leave. </w:t>
            </w:r>
            <w:proofErr w:type="gramStart"/>
            <w:r w:rsidR="007336B4" w:rsidRPr="006F44AE">
              <w:t>So</w:t>
            </w:r>
            <w:proofErr w:type="gramEnd"/>
            <w:r w:rsidR="007336B4" w:rsidRPr="006F44AE">
              <w:t xml:space="preserve"> it’s important that the customer is aware of this and that regardless of this application they currently have extent leave. If </w:t>
            </w:r>
            <w:proofErr w:type="gramStart"/>
            <w:r w:rsidR="007336B4" w:rsidRPr="006F44AE">
              <w:t>not</w:t>
            </w:r>
            <w:proofErr w:type="gramEnd"/>
            <w:r w:rsidR="007336B4" w:rsidRPr="006F44AE">
              <w:t xml:space="preserve"> the best solution is the vary to a new priority application, they would still get a refund for the standard one but mean paying upfront for the priority one first. This way though there is no gap in </w:t>
            </w:r>
            <w:r w:rsidR="004A7729" w:rsidRPr="006F44AE">
              <w:t>leave,</w:t>
            </w:r>
            <w:r w:rsidR="007336B4" w:rsidRPr="006F44AE">
              <w:t xml:space="preserve"> and it won’t impact whatever route to settlement the customer is on</w:t>
            </w:r>
            <w:r w:rsidR="007336B4" w:rsidRPr="006F44AE">
              <w:rPr>
                <w:sz w:val="24"/>
                <w:szCs w:val="24"/>
              </w:rPr>
              <w:t>.</w:t>
            </w:r>
          </w:p>
          <w:p w14:paraId="00DCB8D9" w14:textId="7E223F37" w:rsidR="00F554E3" w:rsidRPr="006F44AE" w:rsidRDefault="00F554E3" w:rsidP="006E661C">
            <w:pPr>
              <w:widowControl w:val="0"/>
              <w:spacing w:line="240" w:lineRule="auto"/>
            </w:pPr>
          </w:p>
        </w:tc>
      </w:tr>
      <w:tr w:rsidR="001434AF" w:rsidRPr="006F44AE" w14:paraId="06F3CA87" w14:textId="77777777" w:rsidTr="00940543">
        <w:tc>
          <w:tcPr>
            <w:tcW w:w="5519" w:type="dxa"/>
            <w:shd w:val="clear" w:color="auto" w:fill="auto"/>
            <w:tcMar>
              <w:top w:w="100" w:type="dxa"/>
              <w:left w:w="100" w:type="dxa"/>
              <w:bottom w:w="100" w:type="dxa"/>
              <w:right w:w="100" w:type="dxa"/>
            </w:tcMar>
          </w:tcPr>
          <w:p w14:paraId="03E9E484" w14:textId="2483D52A" w:rsidR="001434AF" w:rsidRPr="006F44AE" w:rsidRDefault="001434AF" w:rsidP="006E661C">
            <w:pPr>
              <w:widowControl w:val="0"/>
              <w:numPr>
                <w:ilvl w:val="0"/>
                <w:numId w:val="2"/>
              </w:numPr>
              <w:spacing w:line="240" w:lineRule="auto"/>
              <w:rPr>
                <w:b/>
              </w:rPr>
            </w:pPr>
            <w:r w:rsidRPr="006F44AE">
              <w:rPr>
                <w:b/>
              </w:rPr>
              <w:lastRenderedPageBreak/>
              <w:t>Additional query</w:t>
            </w:r>
            <w:r w:rsidR="00DC7BE6" w:rsidRPr="006F44AE">
              <w:rPr>
                <w:b/>
              </w:rPr>
              <w:t xml:space="preserve"> emailed</w:t>
            </w:r>
            <w:r w:rsidRPr="006F44AE">
              <w:rPr>
                <w:b/>
              </w:rPr>
              <w:t xml:space="preserve"> 12.2.21 </w:t>
            </w:r>
          </w:p>
          <w:p w14:paraId="220A78D2" w14:textId="77777777" w:rsidR="001434AF" w:rsidRPr="006F44AE" w:rsidRDefault="001434AF" w:rsidP="001434AF">
            <w:pPr>
              <w:widowControl w:val="0"/>
              <w:spacing w:line="240" w:lineRule="auto"/>
              <w:rPr>
                <w:b/>
              </w:rPr>
            </w:pPr>
          </w:p>
          <w:p w14:paraId="6993AC68" w14:textId="77777777" w:rsidR="001434AF" w:rsidRPr="006F44AE" w:rsidRDefault="001434AF" w:rsidP="001434AF">
            <w:r w:rsidRPr="006F44AE">
              <w:t xml:space="preserve">Please see the below – we’d be grateful for clarity on the switching concession from policy colleagues. For example, if someone is in the UK on a visit visa which expires in a few months’ time, is there a general prohibition on them switching to e.g. a spouse visa on the basis that there are a few months outstanding on their visit visa? We of course understand that every case will turn on its facts, but it would be useful to know if the Home Office would expect applicants to wait until their current visa is close to expiring before applying under the </w:t>
            </w:r>
            <w:proofErr w:type="spellStart"/>
            <w:r w:rsidRPr="006F44AE">
              <w:t>Covid</w:t>
            </w:r>
            <w:proofErr w:type="spellEnd"/>
            <w:r w:rsidRPr="006F44AE">
              <w:t xml:space="preserve"> switching concession.</w:t>
            </w:r>
          </w:p>
          <w:p w14:paraId="614A107C" w14:textId="77777777" w:rsidR="001434AF" w:rsidRPr="006F44AE" w:rsidRDefault="001434AF" w:rsidP="001434AF"/>
          <w:p w14:paraId="15BBD20D" w14:textId="3EF0416B" w:rsidR="001434AF" w:rsidRPr="006F44AE" w:rsidRDefault="001434AF" w:rsidP="001434AF">
            <w:pPr>
              <w:widowControl w:val="0"/>
              <w:spacing w:line="240" w:lineRule="auto"/>
              <w:rPr>
                <w:b/>
              </w:rPr>
            </w:pPr>
          </w:p>
        </w:tc>
        <w:tc>
          <w:tcPr>
            <w:tcW w:w="7938" w:type="dxa"/>
            <w:shd w:val="clear" w:color="auto" w:fill="auto"/>
            <w:tcMar>
              <w:top w:w="100" w:type="dxa"/>
              <w:left w:w="100" w:type="dxa"/>
              <w:bottom w:w="100" w:type="dxa"/>
              <w:right w:w="100" w:type="dxa"/>
            </w:tcMar>
          </w:tcPr>
          <w:p w14:paraId="6176003B" w14:textId="64883DD2" w:rsidR="008B2595" w:rsidRPr="006F44AE" w:rsidRDefault="009B544C" w:rsidP="0028130E">
            <w:pPr>
              <w:rPr>
                <w:iCs/>
                <w:color w:val="0B0C0C"/>
              </w:rPr>
            </w:pPr>
            <w:r w:rsidRPr="006F44AE">
              <w:rPr>
                <w:iCs/>
                <w:color w:val="0B0C0C"/>
              </w:rPr>
              <w:t>Where customers still have months outstanding on their Visitor Visa, they need to</w:t>
            </w:r>
            <w:r w:rsidR="008B2595" w:rsidRPr="006F44AE">
              <w:t xml:space="preserve"> demonstrate an urgent need to stay in the UK</w:t>
            </w:r>
            <w:r w:rsidRPr="006F44AE">
              <w:t>,</w:t>
            </w:r>
            <w:r w:rsidR="008B2595" w:rsidRPr="006F44AE">
              <w:t xml:space="preserve"> or that they cannot return to</w:t>
            </w:r>
            <w:r w:rsidR="0028130E" w:rsidRPr="006F44AE">
              <w:t xml:space="preserve"> their</w:t>
            </w:r>
            <w:r w:rsidR="008B2595" w:rsidRPr="006F44AE">
              <w:t xml:space="preserve"> home country due to Covid</w:t>
            </w:r>
            <w:r w:rsidR="0028130E" w:rsidRPr="006F44AE">
              <w:t>-19</w:t>
            </w:r>
            <w:r w:rsidR="008B2595" w:rsidRPr="006F44AE">
              <w:t xml:space="preserve">, otherwise they should </w:t>
            </w:r>
            <w:proofErr w:type="gramStart"/>
            <w:r w:rsidR="008B2595" w:rsidRPr="006F44AE">
              <w:t>make arrangements</w:t>
            </w:r>
            <w:proofErr w:type="gramEnd"/>
            <w:r w:rsidR="008B2595" w:rsidRPr="006F44AE">
              <w:t xml:space="preserve"> to leave</w:t>
            </w:r>
            <w:r w:rsidR="0028130E" w:rsidRPr="006F44AE">
              <w:t xml:space="preserve"> the</w:t>
            </w:r>
            <w:r w:rsidR="008B2595" w:rsidRPr="006F44AE">
              <w:t xml:space="preserve"> UK and apply at EC.</w:t>
            </w:r>
            <w:r w:rsidRPr="006F44AE">
              <w:t xml:space="preserve"> </w:t>
            </w:r>
          </w:p>
        </w:tc>
      </w:tr>
      <w:tr w:rsidR="00777545" w:rsidRPr="006F44AE" w14:paraId="0DFB87CC" w14:textId="77777777" w:rsidTr="00940543">
        <w:tc>
          <w:tcPr>
            <w:tcW w:w="5519" w:type="dxa"/>
            <w:shd w:val="clear" w:color="auto" w:fill="auto"/>
            <w:tcMar>
              <w:top w:w="100" w:type="dxa"/>
              <w:left w:w="100" w:type="dxa"/>
              <w:bottom w:w="100" w:type="dxa"/>
              <w:right w:w="100" w:type="dxa"/>
            </w:tcMar>
          </w:tcPr>
          <w:p w14:paraId="438C17B6" w14:textId="5B073C52" w:rsidR="00777545" w:rsidRPr="006F44AE" w:rsidRDefault="00777545" w:rsidP="006E661C">
            <w:pPr>
              <w:widowControl w:val="0"/>
              <w:numPr>
                <w:ilvl w:val="0"/>
                <w:numId w:val="2"/>
              </w:numPr>
              <w:spacing w:line="240" w:lineRule="auto"/>
              <w:rPr>
                <w:b/>
              </w:rPr>
            </w:pPr>
            <w:r w:rsidRPr="006F44AE">
              <w:rPr>
                <w:b/>
              </w:rPr>
              <w:t xml:space="preserve"> Exceptional Assurance </w:t>
            </w:r>
          </w:p>
        </w:tc>
        <w:tc>
          <w:tcPr>
            <w:tcW w:w="7938" w:type="dxa"/>
            <w:shd w:val="clear" w:color="auto" w:fill="auto"/>
            <w:tcMar>
              <w:top w:w="100" w:type="dxa"/>
              <w:left w:w="100" w:type="dxa"/>
              <w:bottom w:w="100" w:type="dxa"/>
              <w:right w:w="100" w:type="dxa"/>
            </w:tcMar>
          </w:tcPr>
          <w:p w14:paraId="707685E5" w14:textId="56E1DB01" w:rsidR="00777545" w:rsidRPr="006F44AE" w:rsidRDefault="007B2736" w:rsidP="007336B4">
            <w:r w:rsidRPr="006F44AE">
              <w:t xml:space="preserve">As mentioned in the call, we plan to roll the concession into a further month. </w:t>
            </w:r>
            <w:r w:rsidR="003D0151" w:rsidRPr="006F44AE">
              <w:t xml:space="preserve">The website has now been </w:t>
            </w:r>
            <w:r w:rsidR="009B544C" w:rsidRPr="006F44AE">
              <w:t>updated for</w:t>
            </w:r>
            <w:r w:rsidR="0023547D" w:rsidRPr="006F44AE">
              <w:t xml:space="preserve"> applicants with leave up to the end of March. </w:t>
            </w:r>
            <w:hyperlink r:id="rId29" w:history="1">
              <w:r w:rsidR="0023547D" w:rsidRPr="006F44AE">
                <w:rPr>
                  <w:rStyle w:val="Hyperlink"/>
                </w:rPr>
                <w:t>https://www.gov.uk/guidance/coronavirus-covid-19-advice-for-uk-visa-applicants-and-temporary-uk-residents</w:t>
              </w:r>
            </w:hyperlink>
            <w:r w:rsidRPr="006F44AE">
              <w:t xml:space="preserve"> page to advise that we are </w:t>
            </w:r>
            <w:r w:rsidR="00BB6597" w:rsidRPr="006F44AE">
              <w:t>opening</w:t>
            </w:r>
            <w:r w:rsidRPr="006F44AE">
              <w:t xml:space="preserve"> the concession up</w:t>
            </w:r>
            <w:r w:rsidR="00BB6597" w:rsidRPr="006F44AE">
              <w:t xml:space="preserve"> for applications for EA</w:t>
            </w:r>
            <w:r w:rsidRPr="006F44AE">
              <w:t xml:space="preserve"> to those with leave expiring between 1-31 March. </w:t>
            </w:r>
          </w:p>
        </w:tc>
      </w:tr>
      <w:bookmarkEnd w:id="10"/>
    </w:tbl>
    <w:p w14:paraId="7E8AD24C" w14:textId="76224BC7" w:rsidR="008B2595" w:rsidRPr="006F44AE" w:rsidRDefault="008B2595"/>
    <w:p w14:paraId="1CC215B2" w14:textId="7253C575" w:rsidR="004A7729" w:rsidRPr="006F44AE" w:rsidRDefault="004A7729">
      <w:r w:rsidRPr="006F44AE">
        <w:t>Additional Actions from call:</w:t>
      </w:r>
    </w:p>
    <w:tbl>
      <w:tblPr>
        <w:tblStyle w:val="TableGrid"/>
        <w:tblW w:w="13462" w:type="dxa"/>
        <w:tblLook w:val="04A0" w:firstRow="1" w:lastRow="0" w:firstColumn="1" w:lastColumn="0" w:noHBand="0" w:noVBand="1"/>
      </w:tblPr>
      <w:tblGrid>
        <w:gridCol w:w="2122"/>
        <w:gridCol w:w="11340"/>
      </w:tblGrid>
      <w:tr w:rsidR="00D24180" w:rsidRPr="006F44AE" w14:paraId="59870DEF" w14:textId="77777777" w:rsidTr="004A7729">
        <w:tc>
          <w:tcPr>
            <w:tcW w:w="2122" w:type="dxa"/>
            <w:shd w:val="clear" w:color="auto" w:fill="F2F2F2" w:themeFill="background1" w:themeFillShade="F2"/>
          </w:tcPr>
          <w:p w14:paraId="1AEC512C" w14:textId="5C40592B" w:rsidR="00D24180" w:rsidRPr="006F44AE" w:rsidRDefault="00D24180">
            <w:pPr>
              <w:rPr>
                <w:b/>
                <w:sz w:val="24"/>
              </w:rPr>
            </w:pPr>
            <w:r w:rsidRPr="006F44AE">
              <w:rPr>
                <w:b/>
                <w:sz w:val="24"/>
              </w:rPr>
              <w:lastRenderedPageBreak/>
              <w:t xml:space="preserve">Topic </w:t>
            </w:r>
          </w:p>
        </w:tc>
        <w:tc>
          <w:tcPr>
            <w:tcW w:w="11340" w:type="dxa"/>
            <w:shd w:val="clear" w:color="auto" w:fill="F2F2F2" w:themeFill="background1" w:themeFillShade="F2"/>
          </w:tcPr>
          <w:p w14:paraId="76F2BE9A" w14:textId="54436101" w:rsidR="00D24180" w:rsidRPr="006F44AE" w:rsidRDefault="00D24180">
            <w:pPr>
              <w:rPr>
                <w:b/>
                <w:sz w:val="24"/>
              </w:rPr>
            </w:pPr>
            <w:r w:rsidRPr="006F44AE">
              <w:rPr>
                <w:b/>
                <w:sz w:val="24"/>
              </w:rPr>
              <w:t xml:space="preserve">Outcome </w:t>
            </w:r>
          </w:p>
        </w:tc>
      </w:tr>
      <w:tr w:rsidR="00D24180" w:rsidRPr="006F44AE" w14:paraId="2ECB1CC8" w14:textId="77777777" w:rsidTr="009872A3">
        <w:tc>
          <w:tcPr>
            <w:tcW w:w="2122" w:type="dxa"/>
          </w:tcPr>
          <w:p w14:paraId="427CD093" w14:textId="07BA74FC" w:rsidR="00D24180" w:rsidRPr="006F44AE" w:rsidRDefault="00D24180" w:rsidP="00D24180">
            <w:r w:rsidRPr="006F44AE">
              <w:t xml:space="preserve">EUSS </w:t>
            </w:r>
          </w:p>
        </w:tc>
        <w:tc>
          <w:tcPr>
            <w:tcW w:w="11340" w:type="dxa"/>
          </w:tcPr>
          <w:p w14:paraId="495A786F" w14:textId="271DECF5" w:rsidR="00D24180" w:rsidRPr="006F44AE" w:rsidRDefault="00D24180" w:rsidP="00D24180">
            <w:r w:rsidRPr="006F44AE">
              <w:t>EUSS Policy team to contact Sonia directly W/C 15 March to arrange call/discussion</w:t>
            </w:r>
            <w:r w:rsidR="00BA6EBB">
              <w:t>.</w:t>
            </w:r>
            <w:r w:rsidRPr="006F44AE">
              <w:t xml:space="preserve"> </w:t>
            </w:r>
          </w:p>
        </w:tc>
      </w:tr>
      <w:tr w:rsidR="00D24180" w:rsidRPr="006F44AE" w14:paraId="79CB77BC" w14:textId="77777777" w:rsidTr="009872A3">
        <w:tc>
          <w:tcPr>
            <w:tcW w:w="2122" w:type="dxa"/>
          </w:tcPr>
          <w:p w14:paraId="411BF20F" w14:textId="51F18767" w:rsidR="00D24180" w:rsidRPr="006F44AE" w:rsidRDefault="00D24180" w:rsidP="00D24180">
            <w:r w:rsidRPr="006F44AE">
              <w:t xml:space="preserve">NRPF </w:t>
            </w:r>
          </w:p>
        </w:tc>
        <w:tc>
          <w:tcPr>
            <w:tcW w:w="11340" w:type="dxa"/>
          </w:tcPr>
          <w:p w14:paraId="6821F546" w14:textId="0AE24FD9" w:rsidR="00D24180" w:rsidRPr="006F44AE" w:rsidRDefault="00D24180" w:rsidP="00D24180">
            <w:r w:rsidRPr="006F44AE">
              <w:t>Team to contact Son</w:t>
            </w:r>
            <w:r w:rsidR="00BA6EBB">
              <w:t>i</w:t>
            </w:r>
            <w:r w:rsidRPr="006F44AE">
              <w:t>a directly</w:t>
            </w:r>
            <w:r w:rsidR="00BA6EBB">
              <w:t>.</w:t>
            </w:r>
          </w:p>
        </w:tc>
      </w:tr>
      <w:tr w:rsidR="00D24180" w:rsidRPr="006F44AE" w14:paraId="7A3431D9" w14:textId="77777777" w:rsidTr="009872A3">
        <w:tc>
          <w:tcPr>
            <w:tcW w:w="2122" w:type="dxa"/>
          </w:tcPr>
          <w:p w14:paraId="0DBD6A6D" w14:textId="17573FFA" w:rsidR="00D24180" w:rsidRPr="006F44AE" w:rsidRDefault="00D24180" w:rsidP="00D24180">
            <w:r w:rsidRPr="006F44AE">
              <w:t xml:space="preserve">Marriage </w:t>
            </w:r>
          </w:p>
        </w:tc>
        <w:tc>
          <w:tcPr>
            <w:tcW w:w="11340" w:type="dxa"/>
          </w:tcPr>
          <w:p w14:paraId="36A88647" w14:textId="49368519" w:rsidR="00D24180" w:rsidRPr="006F44AE" w:rsidRDefault="00D24180" w:rsidP="00D24180">
            <w:r w:rsidRPr="006F44AE">
              <w:t>Meeting between Adrian Seelhoff</w:t>
            </w:r>
            <w:r w:rsidR="00BA6EBB">
              <w:t xml:space="preserve">, </w:t>
            </w:r>
            <w:r w:rsidRPr="006F44AE">
              <w:t>ILPA</w:t>
            </w:r>
            <w:r w:rsidR="00BA6EBB">
              <w:t xml:space="preserve">, </w:t>
            </w:r>
            <w:r w:rsidRPr="006F44AE">
              <w:t xml:space="preserve">Dawn Mason and Policy, </w:t>
            </w:r>
            <w:r w:rsidR="004A7729" w:rsidRPr="006F44AE">
              <w:t>to be held</w:t>
            </w:r>
            <w:r w:rsidRPr="006F44AE">
              <w:t xml:space="preserve"> 11 March 2pm. </w:t>
            </w:r>
          </w:p>
        </w:tc>
      </w:tr>
      <w:tr w:rsidR="00D24180" w:rsidRPr="006F44AE" w14:paraId="13B25649" w14:textId="77777777" w:rsidTr="009872A3">
        <w:tc>
          <w:tcPr>
            <w:tcW w:w="2122" w:type="dxa"/>
          </w:tcPr>
          <w:p w14:paraId="40725724" w14:textId="2DFFC0F8" w:rsidR="00D24180" w:rsidRPr="006F44AE" w:rsidRDefault="00EC4711" w:rsidP="00D24180">
            <w:r w:rsidRPr="006F44AE">
              <w:t>.GOV</w:t>
            </w:r>
          </w:p>
        </w:tc>
        <w:tc>
          <w:tcPr>
            <w:tcW w:w="11340" w:type="dxa"/>
          </w:tcPr>
          <w:p w14:paraId="7D85DE69" w14:textId="6E6BB66E" w:rsidR="00D24180" w:rsidRPr="006F44AE" w:rsidRDefault="00EC4711" w:rsidP="00D24180">
            <w:r w:rsidRPr="006F44AE">
              <w:t>Sonia</w:t>
            </w:r>
            <w:r w:rsidR="004A7729" w:rsidRPr="006F44AE">
              <w:t xml:space="preserve"> </w:t>
            </w:r>
            <w:r w:rsidRPr="006F44AE">
              <w:t>shared more information</w:t>
            </w:r>
            <w:r w:rsidR="004A7729" w:rsidRPr="006F44AE">
              <w:t xml:space="preserve"> regarding question 2 above</w:t>
            </w:r>
            <w:r w:rsidRPr="006F44AE">
              <w:t xml:space="preserve">, </w:t>
            </w:r>
            <w:r w:rsidR="004A7729" w:rsidRPr="006F44AE">
              <w:t>team shared with relevant digital dept.</w:t>
            </w:r>
          </w:p>
        </w:tc>
      </w:tr>
      <w:tr w:rsidR="00D24180" w:rsidRPr="006F44AE" w14:paraId="2FE40F68" w14:textId="77777777" w:rsidTr="009872A3">
        <w:tc>
          <w:tcPr>
            <w:tcW w:w="2122" w:type="dxa"/>
          </w:tcPr>
          <w:p w14:paraId="6C265978" w14:textId="212A4D4D" w:rsidR="00D24180" w:rsidRPr="006F44AE" w:rsidRDefault="00EC4711" w:rsidP="00D24180">
            <w:r w:rsidRPr="006F44AE">
              <w:t>CVCS SMART from problems</w:t>
            </w:r>
          </w:p>
        </w:tc>
        <w:tc>
          <w:tcPr>
            <w:tcW w:w="11340" w:type="dxa"/>
          </w:tcPr>
          <w:p w14:paraId="1643536C" w14:textId="354295F8" w:rsidR="00D24180" w:rsidRPr="006F44AE" w:rsidRDefault="004A7729" w:rsidP="00D24180">
            <w:r w:rsidRPr="006F44AE">
              <w:t>Error investigated and unknown – exceptionally p</w:t>
            </w:r>
            <w:r w:rsidR="00EC4711" w:rsidRPr="006F44AE">
              <w:t>rocessing x</w:t>
            </w:r>
            <w:r w:rsidR="00BA6EBB">
              <w:t xml:space="preserve"> </w:t>
            </w:r>
            <w:r w:rsidR="00EC4711" w:rsidRPr="006F44AE">
              <w:t xml:space="preserve">2 cases manually for </w:t>
            </w:r>
            <w:r w:rsidR="00ED6152" w:rsidRPr="006F44AE">
              <w:t>Wilson Solicitors LLP</w:t>
            </w:r>
            <w:r w:rsidRPr="006F44AE">
              <w:t>.</w:t>
            </w:r>
          </w:p>
        </w:tc>
      </w:tr>
    </w:tbl>
    <w:p w14:paraId="16CE8161" w14:textId="6CAD9ADF" w:rsidR="008B2595" w:rsidRPr="006F44AE" w:rsidRDefault="008B2595"/>
    <w:p w14:paraId="5B1B3E44" w14:textId="77777777" w:rsidR="00D24180" w:rsidRPr="006F44AE" w:rsidRDefault="00D24180"/>
    <w:p w14:paraId="2304C775" w14:textId="77777777" w:rsidR="00531EA1" w:rsidRPr="006F44AE" w:rsidRDefault="00531EA1"/>
    <w:p w14:paraId="5E77058C" w14:textId="5133DC0A" w:rsidR="005F1ACA" w:rsidRPr="006F44AE" w:rsidRDefault="004A2415" w:rsidP="00EC4711">
      <w:r w:rsidRPr="006F44AE">
        <w:t>.</w:t>
      </w:r>
    </w:p>
    <w:sectPr w:rsidR="005F1ACA" w:rsidRPr="006F44AE" w:rsidSect="004A7729">
      <w:headerReference w:type="even" r:id="rId30"/>
      <w:headerReference w:type="default" r:id="rId31"/>
      <w:footerReference w:type="even" r:id="rId32"/>
      <w:footerReference w:type="default" r:id="rId33"/>
      <w:headerReference w:type="first" r:id="rId34"/>
      <w:footerReference w:type="first" r:id="rId35"/>
      <w:pgSz w:w="15840" w:h="12240" w:orient="landscape"/>
      <w:pgMar w:top="1134" w:right="1440" w:bottom="1276"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2DC8" w14:textId="77777777" w:rsidR="00F70210" w:rsidRDefault="00F70210">
      <w:pPr>
        <w:spacing w:line="240" w:lineRule="auto"/>
      </w:pPr>
      <w:r>
        <w:separator/>
      </w:r>
    </w:p>
  </w:endnote>
  <w:endnote w:type="continuationSeparator" w:id="0">
    <w:p w14:paraId="49AE1EBF" w14:textId="77777777" w:rsidR="00F70210" w:rsidRDefault="00F70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0AF8" w14:textId="77777777" w:rsidR="00781536" w:rsidRDefault="00781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513170"/>
      <w:docPartObj>
        <w:docPartGallery w:val="Page Numbers (Bottom of Page)"/>
        <w:docPartUnique/>
      </w:docPartObj>
    </w:sdtPr>
    <w:sdtEndPr/>
    <w:sdtContent>
      <w:sdt>
        <w:sdtPr>
          <w:id w:val="1728636285"/>
          <w:docPartObj>
            <w:docPartGallery w:val="Page Numbers (Top of Page)"/>
            <w:docPartUnique/>
          </w:docPartObj>
        </w:sdtPr>
        <w:sdtEndPr/>
        <w:sdtContent>
          <w:p w14:paraId="13DFE4F3" w14:textId="5564F57A" w:rsidR="00D24180" w:rsidRDefault="00D241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6ECC5CA4" w14:textId="77777777" w:rsidR="00D24180" w:rsidRDefault="00D24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CA6E" w14:textId="77777777" w:rsidR="00781536" w:rsidRDefault="00781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74234" w14:textId="77777777" w:rsidR="00F70210" w:rsidRDefault="00F70210">
      <w:pPr>
        <w:spacing w:line="240" w:lineRule="auto"/>
      </w:pPr>
      <w:r>
        <w:separator/>
      </w:r>
    </w:p>
  </w:footnote>
  <w:footnote w:type="continuationSeparator" w:id="0">
    <w:p w14:paraId="1F3CFD97" w14:textId="77777777" w:rsidR="00F70210" w:rsidRDefault="00F70210">
      <w:pPr>
        <w:spacing w:line="240" w:lineRule="auto"/>
      </w:pPr>
      <w:r>
        <w:continuationSeparator/>
      </w:r>
    </w:p>
  </w:footnote>
  <w:footnote w:id="1">
    <w:p w14:paraId="586E3B3D" w14:textId="77777777" w:rsidR="00D24180" w:rsidRDefault="00D24180" w:rsidP="003A3F94">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https://ilpa.org.uk/home-office-responses-to-ilpa-and-the-law-societys-recommendations-on-covid-19-immigration-impact-18-november-2020/</w:t>
        </w:r>
      </w:hyperlink>
      <w:r>
        <w:rPr>
          <w:sz w:val="20"/>
          <w:szCs w:val="20"/>
        </w:rPr>
        <w:t xml:space="preserve"> </w:t>
      </w:r>
    </w:p>
  </w:footnote>
  <w:footnote w:id="2">
    <w:p w14:paraId="6E6741F6" w14:textId="77777777" w:rsidR="00D24180" w:rsidRPr="00F52336" w:rsidRDefault="00D24180" w:rsidP="00F52336">
      <w:pPr>
        <w:pStyle w:val="FootnoteText"/>
        <w:rPr>
          <w:rFonts w:ascii="Arial" w:hAnsi="Arial" w:cs="Arial"/>
          <w:lang w:val="en-US"/>
        </w:rPr>
      </w:pPr>
      <w:r w:rsidRPr="00F52336">
        <w:rPr>
          <w:rStyle w:val="FootnoteReference"/>
          <w:rFonts w:ascii="Arial" w:hAnsi="Arial" w:cs="Arial"/>
        </w:rPr>
        <w:footnoteRef/>
      </w:r>
      <w:r w:rsidRPr="00F52336">
        <w:rPr>
          <w:rFonts w:ascii="Arial" w:hAnsi="Arial" w:cs="Arial"/>
        </w:rPr>
        <w:t xml:space="preserve"> </w:t>
      </w:r>
      <w:hyperlink r:id="rId2" w:history="1">
        <w:r w:rsidRPr="00F52336">
          <w:rPr>
            <w:rStyle w:val="Hyperlink"/>
            <w:rFonts w:ascii="Arial" w:hAnsi="Arial" w:cs="Arial"/>
          </w:rPr>
          <w:t>https://www.gov.uk/guidance/coronavirus-covid-19-advice-for-uk-visa-applicants-and-temporary-uk-residents</w:t>
        </w:r>
      </w:hyperlink>
    </w:p>
  </w:footnote>
  <w:footnote w:id="3">
    <w:p w14:paraId="0A5A7A80" w14:textId="77777777" w:rsidR="00D24180" w:rsidRPr="00F52336" w:rsidRDefault="00D24180" w:rsidP="00F52336">
      <w:pPr>
        <w:pStyle w:val="FootnoteText"/>
        <w:rPr>
          <w:rFonts w:ascii="Arial" w:hAnsi="Arial" w:cs="Arial"/>
          <w:lang w:val="en-US"/>
        </w:rPr>
      </w:pPr>
      <w:r w:rsidRPr="00F52336">
        <w:rPr>
          <w:rStyle w:val="FootnoteReference"/>
          <w:rFonts w:ascii="Arial" w:hAnsi="Arial" w:cs="Arial"/>
        </w:rPr>
        <w:footnoteRef/>
      </w:r>
      <w:r w:rsidRPr="00F52336">
        <w:rPr>
          <w:rFonts w:ascii="Arial" w:hAnsi="Arial" w:cs="Arial"/>
        </w:rPr>
        <w:t xml:space="preserve"> Application fee, Leave to remain - Other </w:t>
      </w:r>
      <w:hyperlink r:id="rId3" w:history="1">
        <w:r w:rsidRPr="00F52336">
          <w:rPr>
            <w:rStyle w:val="Hyperlink"/>
            <w:rFonts w:ascii="Arial" w:hAnsi="Arial" w:cs="Arial"/>
          </w:rPr>
          <w:t>https://www.gov.uk/government/publications/visa-regulations-revised-table/home-office-immigration-and-nationality-fees-31-january-2021</w:t>
        </w:r>
      </w:hyperlink>
      <w:r w:rsidRPr="00F52336">
        <w:rPr>
          <w:rFonts w:ascii="Arial" w:hAnsi="Arial" w:cs="Arial"/>
        </w:rPr>
        <w:t xml:space="preserve"> </w:t>
      </w:r>
    </w:p>
  </w:footnote>
  <w:footnote w:id="4">
    <w:p w14:paraId="4C1A24FD" w14:textId="77777777" w:rsidR="00D24180" w:rsidRDefault="00D24180" w:rsidP="00F52336">
      <w:pPr>
        <w:pStyle w:val="FootnoteText"/>
        <w:rPr>
          <w:lang w:val="en-US"/>
        </w:rPr>
      </w:pPr>
      <w:r w:rsidRPr="00F52336">
        <w:rPr>
          <w:rStyle w:val="FootnoteReference"/>
          <w:rFonts w:ascii="Arial" w:hAnsi="Arial" w:cs="Arial"/>
        </w:rPr>
        <w:footnoteRef/>
      </w:r>
      <w:r w:rsidRPr="00F52336">
        <w:rPr>
          <w:rFonts w:ascii="Arial" w:hAnsi="Arial" w:cs="Arial"/>
        </w:rPr>
        <w:t xml:space="preserve"> Immigration Health Surcharge </w:t>
      </w:r>
      <w:hyperlink r:id="rId4" w:history="1">
        <w:r w:rsidRPr="00F52336">
          <w:rPr>
            <w:rStyle w:val="Hyperlink"/>
            <w:rFonts w:ascii="Arial" w:hAnsi="Arial" w:cs="Arial"/>
          </w:rPr>
          <w:t>https://www.gov.uk/healthcare-immigration-application/how-much-pay</w:t>
        </w:r>
      </w:hyperlink>
      <w:r>
        <w:t xml:space="preserve"> </w:t>
      </w:r>
    </w:p>
  </w:footnote>
  <w:footnote w:id="5">
    <w:p w14:paraId="633830C7" w14:textId="77777777" w:rsidR="00D24180" w:rsidRPr="00F52336" w:rsidRDefault="00D24180">
      <w:pPr>
        <w:spacing w:line="240" w:lineRule="auto"/>
        <w:rPr>
          <w:sz w:val="20"/>
          <w:szCs w:val="20"/>
        </w:rPr>
      </w:pPr>
      <w:r w:rsidRPr="00F52336">
        <w:rPr>
          <w:sz w:val="20"/>
          <w:szCs w:val="20"/>
          <w:vertAlign w:val="superscript"/>
        </w:rPr>
        <w:footnoteRef/>
      </w:r>
      <w:r w:rsidRPr="00F52336">
        <w:rPr>
          <w:sz w:val="20"/>
          <w:szCs w:val="20"/>
        </w:rPr>
        <w:t xml:space="preserve"> See p. 12 of the </w:t>
      </w:r>
      <w:hyperlink r:id="rId5">
        <w:r w:rsidRPr="00F52336">
          <w:rPr>
            <w:color w:val="1155CC"/>
            <w:sz w:val="20"/>
            <w:szCs w:val="20"/>
            <w:u w:val="single"/>
          </w:rPr>
          <w:t>Returning residents</w:t>
        </w:r>
      </w:hyperlink>
      <w:r w:rsidRPr="00F52336">
        <w:rPr>
          <w:sz w:val="20"/>
          <w:szCs w:val="20"/>
        </w:rPr>
        <w:t xml:space="preserve">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8CB1" w14:textId="77777777" w:rsidR="00781536" w:rsidRDefault="00781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98D8" w14:textId="79D7CBF0" w:rsidR="00D24180" w:rsidRPr="00781536" w:rsidRDefault="00D24180" w:rsidP="00781536">
    <w:pPr>
      <w:pStyle w:val="Header"/>
    </w:pPr>
    <w:bookmarkStart w:id="12" w:name="_GoBack"/>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193E" w14:textId="77777777" w:rsidR="00781536" w:rsidRDefault="00781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BD3"/>
    <w:multiLevelType w:val="hybridMultilevel"/>
    <w:tmpl w:val="DA82261A"/>
    <w:lvl w:ilvl="0" w:tplc="301AD91E">
      <w:start w:val="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32349"/>
    <w:multiLevelType w:val="hybridMultilevel"/>
    <w:tmpl w:val="DA82261A"/>
    <w:lvl w:ilvl="0" w:tplc="301AD91E">
      <w:start w:val="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F09E1"/>
    <w:multiLevelType w:val="hybridMultilevel"/>
    <w:tmpl w:val="B19C4FFA"/>
    <w:lvl w:ilvl="0" w:tplc="34585EC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701545"/>
    <w:multiLevelType w:val="hybridMultilevel"/>
    <w:tmpl w:val="E5407B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D44986"/>
    <w:multiLevelType w:val="hybridMultilevel"/>
    <w:tmpl w:val="C8D8B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E41EBC"/>
    <w:multiLevelType w:val="hybridMultilevel"/>
    <w:tmpl w:val="1ABAA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21936"/>
    <w:multiLevelType w:val="multilevel"/>
    <w:tmpl w:val="D5EA2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1F7183"/>
    <w:multiLevelType w:val="multilevel"/>
    <w:tmpl w:val="013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F7939"/>
    <w:multiLevelType w:val="hybridMultilevel"/>
    <w:tmpl w:val="906615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9D5402"/>
    <w:multiLevelType w:val="multilevel"/>
    <w:tmpl w:val="3BB87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AE3709"/>
    <w:multiLevelType w:val="hybridMultilevel"/>
    <w:tmpl w:val="432ECD74"/>
    <w:lvl w:ilvl="0" w:tplc="EDAEF024">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EF6F14"/>
    <w:multiLevelType w:val="multilevel"/>
    <w:tmpl w:val="5688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CF7647"/>
    <w:multiLevelType w:val="hybridMultilevel"/>
    <w:tmpl w:val="874CE4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29B0F05"/>
    <w:multiLevelType w:val="hybridMultilevel"/>
    <w:tmpl w:val="DC5063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16D1F"/>
    <w:multiLevelType w:val="hybridMultilevel"/>
    <w:tmpl w:val="B10CB366"/>
    <w:lvl w:ilvl="0" w:tplc="2E54D0E0">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6144F"/>
    <w:multiLevelType w:val="multilevel"/>
    <w:tmpl w:val="0BF63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C9146D9"/>
    <w:multiLevelType w:val="multilevel"/>
    <w:tmpl w:val="794E1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8230A"/>
    <w:multiLevelType w:val="multilevel"/>
    <w:tmpl w:val="E6D2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675153"/>
    <w:multiLevelType w:val="multilevel"/>
    <w:tmpl w:val="0BF63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D6C5F7E"/>
    <w:multiLevelType w:val="hybridMultilevel"/>
    <w:tmpl w:val="672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64B08"/>
    <w:multiLevelType w:val="hybridMultilevel"/>
    <w:tmpl w:val="E8580132"/>
    <w:lvl w:ilvl="0" w:tplc="A704F0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9C028E"/>
    <w:multiLevelType w:val="multilevel"/>
    <w:tmpl w:val="608C3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3A0499"/>
    <w:multiLevelType w:val="multilevel"/>
    <w:tmpl w:val="168C6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E216C47"/>
    <w:multiLevelType w:val="multilevel"/>
    <w:tmpl w:val="4CA61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EB22E5B"/>
    <w:multiLevelType w:val="multilevel"/>
    <w:tmpl w:val="37C28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7B7F29"/>
    <w:multiLevelType w:val="hybridMultilevel"/>
    <w:tmpl w:val="A45CCC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3F30EE"/>
    <w:multiLevelType w:val="hybridMultilevel"/>
    <w:tmpl w:val="9800A3DA"/>
    <w:lvl w:ilvl="0" w:tplc="31DAED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363414"/>
    <w:multiLevelType w:val="multilevel"/>
    <w:tmpl w:val="49022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6D6DAD"/>
    <w:multiLevelType w:val="hybridMultilevel"/>
    <w:tmpl w:val="B82C1518"/>
    <w:lvl w:ilvl="0" w:tplc="9DC416AA">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776A3"/>
    <w:multiLevelType w:val="hybridMultilevel"/>
    <w:tmpl w:val="2F3A36E6"/>
    <w:lvl w:ilvl="0" w:tplc="259E63D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A10EC2"/>
    <w:multiLevelType w:val="multilevel"/>
    <w:tmpl w:val="0BF63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4B46F88"/>
    <w:multiLevelType w:val="multilevel"/>
    <w:tmpl w:val="0BF634D8"/>
    <w:lvl w:ilvl="0">
      <w:start w:val="1"/>
      <w:numFmt w:val="decimal"/>
      <w:lvlText w:val="%1."/>
      <w:lvlJc w:val="left"/>
      <w:pPr>
        <w:ind w:left="64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62F3744"/>
    <w:multiLevelType w:val="hybridMultilevel"/>
    <w:tmpl w:val="B9F0CC6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907F4C"/>
    <w:multiLevelType w:val="hybridMultilevel"/>
    <w:tmpl w:val="1EAAA0BA"/>
    <w:lvl w:ilvl="0" w:tplc="8B02364A">
      <w:start w:val="2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793E8E"/>
    <w:multiLevelType w:val="hybridMultilevel"/>
    <w:tmpl w:val="D03625F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31"/>
  </w:num>
  <w:num w:numId="3">
    <w:abstractNumId w:val="24"/>
  </w:num>
  <w:num w:numId="4">
    <w:abstractNumId w:val="9"/>
  </w:num>
  <w:num w:numId="5">
    <w:abstractNumId w:val="27"/>
  </w:num>
  <w:num w:numId="6">
    <w:abstractNumId w:val="23"/>
  </w:num>
  <w:num w:numId="7">
    <w:abstractNumId w:val="28"/>
  </w:num>
  <w:num w:numId="8">
    <w:abstractNumId w:val="21"/>
  </w:num>
  <w:num w:numId="9">
    <w:abstractNumId w:val="6"/>
  </w:num>
  <w:num w:numId="10">
    <w:abstractNumId w:val="18"/>
  </w:num>
  <w:num w:numId="11">
    <w:abstractNumId w:val="30"/>
  </w:num>
  <w:num w:numId="12">
    <w:abstractNumId w:val="15"/>
  </w:num>
  <w:num w:numId="13">
    <w:abstractNumId w:val="2"/>
  </w:num>
  <w:num w:numId="14">
    <w:abstractNumId w:val="29"/>
  </w:num>
  <w:num w:numId="15">
    <w:abstractNumId w:val="1"/>
  </w:num>
  <w:num w:numId="16">
    <w:abstractNumId w:val="0"/>
  </w:num>
  <w:num w:numId="17">
    <w:abstractNumId w:val="26"/>
  </w:num>
  <w:num w:numId="18">
    <w:abstractNumId w:val="33"/>
  </w:num>
  <w:num w:numId="19">
    <w:abstractNumId w:val="10"/>
  </w:num>
  <w:num w:numId="20">
    <w:abstractNumId w:val="19"/>
  </w:num>
  <w:num w:numId="21">
    <w:abstractNumId w:val="7"/>
  </w:num>
  <w:num w:numId="22">
    <w:abstractNumId w:val="11"/>
  </w:num>
  <w:num w:numId="23">
    <w:abstractNumId w:val="17"/>
  </w:num>
  <w:num w:numId="24">
    <w:abstractNumId w:val="5"/>
  </w:num>
  <w:num w:numId="25">
    <w:abstractNumId w:val="4"/>
  </w:num>
  <w:num w:numId="26">
    <w:abstractNumId w:val="8"/>
  </w:num>
  <w:num w:numId="27">
    <w:abstractNumId w:val="14"/>
  </w:num>
  <w:num w:numId="28">
    <w:abstractNumId w:val="16"/>
  </w:num>
  <w:num w:numId="29">
    <w:abstractNumId w:val="13"/>
  </w:num>
  <w:num w:numId="30">
    <w:abstractNumId w:val="25"/>
  </w:num>
  <w:num w:numId="31">
    <w:abstractNumId w:val="20"/>
  </w:num>
  <w:num w:numId="32">
    <w:abstractNumId w:val="34"/>
  </w:num>
  <w:num w:numId="33">
    <w:abstractNumId w:val="3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F1"/>
    <w:rsid w:val="00030049"/>
    <w:rsid w:val="000809D2"/>
    <w:rsid w:val="000B0AAD"/>
    <w:rsid w:val="000D6D0A"/>
    <w:rsid w:val="001434AF"/>
    <w:rsid w:val="001B16FC"/>
    <w:rsid w:val="001C39B1"/>
    <w:rsid w:val="001D3CFB"/>
    <w:rsid w:val="001D401B"/>
    <w:rsid w:val="001D5B52"/>
    <w:rsid w:val="0023547D"/>
    <w:rsid w:val="0028130E"/>
    <w:rsid w:val="002B22D2"/>
    <w:rsid w:val="002D1BCC"/>
    <w:rsid w:val="002D4214"/>
    <w:rsid w:val="002F061A"/>
    <w:rsid w:val="003204A9"/>
    <w:rsid w:val="0035053D"/>
    <w:rsid w:val="00374DEA"/>
    <w:rsid w:val="0038354E"/>
    <w:rsid w:val="00396EBA"/>
    <w:rsid w:val="003A0C2F"/>
    <w:rsid w:val="003A3F94"/>
    <w:rsid w:val="003A4C93"/>
    <w:rsid w:val="003A786A"/>
    <w:rsid w:val="003B0289"/>
    <w:rsid w:val="003D0151"/>
    <w:rsid w:val="003F361E"/>
    <w:rsid w:val="00402A04"/>
    <w:rsid w:val="0041320F"/>
    <w:rsid w:val="0044427B"/>
    <w:rsid w:val="00450B02"/>
    <w:rsid w:val="0048049A"/>
    <w:rsid w:val="004A2415"/>
    <w:rsid w:val="004A3F01"/>
    <w:rsid w:val="004A7729"/>
    <w:rsid w:val="004A77B7"/>
    <w:rsid w:val="004B25C2"/>
    <w:rsid w:val="0050668E"/>
    <w:rsid w:val="00531EA1"/>
    <w:rsid w:val="00541666"/>
    <w:rsid w:val="00587975"/>
    <w:rsid w:val="005E4D6B"/>
    <w:rsid w:val="005F1ACA"/>
    <w:rsid w:val="006275EC"/>
    <w:rsid w:val="00637E32"/>
    <w:rsid w:val="006E661C"/>
    <w:rsid w:val="006F44AE"/>
    <w:rsid w:val="007120E4"/>
    <w:rsid w:val="007336B4"/>
    <w:rsid w:val="00743912"/>
    <w:rsid w:val="00743B9D"/>
    <w:rsid w:val="00750B5B"/>
    <w:rsid w:val="00777545"/>
    <w:rsid w:val="00781536"/>
    <w:rsid w:val="0079008F"/>
    <w:rsid w:val="00794B03"/>
    <w:rsid w:val="00795E44"/>
    <w:rsid w:val="007A01D1"/>
    <w:rsid w:val="007B2736"/>
    <w:rsid w:val="007E4222"/>
    <w:rsid w:val="00812605"/>
    <w:rsid w:val="00820296"/>
    <w:rsid w:val="008335C3"/>
    <w:rsid w:val="00835BF8"/>
    <w:rsid w:val="008418FF"/>
    <w:rsid w:val="00856ACC"/>
    <w:rsid w:val="00881ABD"/>
    <w:rsid w:val="008B2595"/>
    <w:rsid w:val="00900FA2"/>
    <w:rsid w:val="00904F15"/>
    <w:rsid w:val="00940543"/>
    <w:rsid w:val="009520F0"/>
    <w:rsid w:val="00953BCF"/>
    <w:rsid w:val="009872A3"/>
    <w:rsid w:val="009B544C"/>
    <w:rsid w:val="009E08C2"/>
    <w:rsid w:val="00A02744"/>
    <w:rsid w:val="00A86ABB"/>
    <w:rsid w:val="00A95954"/>
    <w:rsid w:val="00AA1CA1"/>
    <w:rsid w:val="00AA3F3C"/>
    <w:rsid w:val="00AA54D6"/>
    <w:rsid w:val="00AB49AE"/>
    <w:rsid w:val="00AC6B51"/>
    <w:rsid w:val="00AD61FA"/>
    <w:rsid w:val="00B03375"/>
    <w:rsid w:val="00B23DEC"/>
    <w:rsid w:val="00B24AD6"/>
    <w:rsid w:val="00B626B4"/>
    <w:rsid w:val="00B928AF"/>
    <w:rsid w:val="00BA258D"/>
    <w:rsid w:val="00BA6EBB"/>
    <w:rsid w:val="00BB6597"/>
    <w:rsid w:val="00BC09D0"/>
    <w:rsid w:val="00BE2B30"/>
    <w:rsid w:val="00BF0BDB"/>
    <w:rsid w:val="00C10B6F"/>
    <w:rsid w:val="00C14021"/>
    <w:rsid w:val="00C17A02"/>
    <w:rsid w:val="00C17BD3"/>
    <w:rsid w:val="00C2275B"/>
    <w:rsid w:val="00C550F1"/>
    <w:rsid w:val="00C70341"/>
    <w:rsid w:val="00C71303"/>
    <w:rsid w:val="00C8455C"/>
    <w:rsid w:val="00CD1F75"/>
    <w:rsid w:val="00D23C59"/>
    <w:rsid w:val="00D24180"/>
    <w:rsid w:val="00D6199E"/>
    <w:rsid w:val="00D83EAB"/>
    <w:rsid w:val="00D846E4"/>
    <w:rsid w:val="00D849DB"/>
    <w:rsid w:val="00D95F07"/>
    <w:rsid w:val="00DB03FA"/>
    <w:rsid w:val="00DC7BE6"/>
    <w:rsid w:val="00DE2485"/>
    <w:rsid w:val="00DE4FEC"/>
    <w:rsid w:val="00DF1D75"/>
    <w:rsid w:val="00DF4AC8"/>
    <w:rsid w:val="00E41C96"/>
    <w:rsid w:val="00E4412E"/>
    <w:rsid w:val="00E67031"/>
    <w:rsid w:val="00E76054"/>
    <w:rsid w:val="00E82478"/>
    <w:rsid w:val="00E92DB3"/>
    <w:rsid w:val="00E96DAF"/>
    <w:rsid w:val="00EB7DE8"/>
    <w:rsid w:val="00EC4711"/>
    <w:rsid w:val="00ED6152"/>
    <w:rsid w:val="00EF0D13"/>
    <w:rsid w:val="00F404CF"/>
    <w:rsid w:val="00F52336"/>
    <w:rsid w:val="00F554E3"/>
    <w:rsid w:val="00F61064"/>
    <w:rsid w:val="00F64460"/>
    <w:rsid w:val="00F70210"/>
    <w:rsid w:val="00F702EF"/>
    <w:rsid w:val="00FB4AA9"/>
    <w:rsid w:val="00FC3286"/>
    <w:rsid w:val="00FC53AE"/>
    <w:rsid w:val="00FD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4C0F7"/>
  <w15:docId w15:val="{501E9E7B-8A22-4FC6-9759-CA6864CF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2D1BCC"/>
    <w:pPr>
      <w:autoSpaceDE w:val="0"/>
      <w:autoSpaceDN w:val="0"/>
      <w:adjustRightInd w:val="0"/>
      <w:spacing w:line="240" w:lineRule="auto"/>
    </w:pPr>
    <w:rPr>
      <w:rFonts w:ascii="Calibri" w:eastAsiaTheme="minorHAnsi" w:hAnsi="Calibri" w:cs="Calibri"/>
      <w:color w:val="000000"/>
      <w:sz w:val="24"/>
      <w:szCs w:val="24"/>
      <w:lang w:val="en-GB" w:eastAsia="en-US"/>
    </w:rPr>
  </w:style>
  <w:style w:type="paragraph" w:styleId="ListParagraph">
    <w:name w:val="List Paragraph"/>
    <w:basedOn w:val="Normal"/>
    <w:uiPriority w:val="34"/>
    <w:qFormat/>
    <w:rsid w:val="002D1BCC"/>
    <w:pPr>
      <w:ind w:left="720"/>
      <w:contextualSpacing/>
    </w:pPr>
  </w:style>
  <w:style w:type="character" w:styleId="Hyperlink">
    <w:name w:val="Hyperlink"/>
    <w:basedOn w:val="DefaultParagraphFont"/>
    <w:uiPriority w:val="99"/>
    <w:unhideWhenUsed/>
    <w:rsid w:val="003A3F94"/>
    <w:rPr>
      <w:color w:val="0000FF" w:themeColor="hyperlink"/>
      <w:u w:val="single"/>
    </w:rPr>
  </w:style>
  <w:style w:type="character" w:styleId="CommentReference">
    <w:name w:val="annotation reference"/>
    <w:basedOn w:val="DefaultParagraphFont"/>
    <w:uiPriority w:val="99"/>
    <w:semiHidden/>
    <w:unhideWhenUsed/>
    <w:rsid w:val="00030049"/>
    <w:rPr>
      <w:sz w:val="16"/>
      <w:szCs w:val="16"/>
    </w:rPr>
  </w:style>
  <w:style w:type="paragraph" w:styleId="CommentText">
    <w:name w:val="annotation text"/>
    <w:basedOn w:val="Normal"/>
    <w:link w:val="CommentTextChar"/>
    <w:uiPriority w:val="99"/>
    <w:semiHidden/>
    <w:unhideWhenUsed/>
    <w:rsid w:val="00030049"/>
    <w:pPr>
      <w:spacing w:line="240" w:lineRule="auto"/>
    </w:pPr>
    <w:rPr>
      <w:sz w:val="20"/>
      <w:szCs w:val="20"/>
    </w:rPr>
  </w:style>
  <w:style w:type="character" w:customStyle="1" w:styleId="CommentTextChar">
    <w:name w:val="Comment Text Char"/>
    <w:basedOn w:val="DefaultParagraphFont"/>
    <w:link w:val="CommentText"/>
    <w:uiPriority w:val="99"/>
    <w:semiHidden/>
    <w:rsid w:val="00030049"/>
    <w:rPr>
      <w:sz w:val="20"/>
      <w:szCs w:val="20"/>
    </w:rPr>
  </w:style>
  <w:style w:type="paragraph" w:styleId="CommentSubject">
    <w:name w:val="annotation subject"/>
    <w:basedOn w:val="CommentText"/>
    <w:next w:val="CommentText"/>
    <w:link w:val="CommentSubjectChar"/>
    <w:uiPriority w:val="99"/>
    <w:semiHidden/>
    <w:unhideWhenUsed/>
    <w:rsid w:val="00030049"/>
    <w:rPr>
      <w:b/>
      <w:bCs/>
    </w:rPr>
  </w:style>
  <w:style w:type="character" w:customStyle="1" w:styleId="CommentSubjectChar">
    <w:name w:val="Comment Subject Char"/>
    <w:basedOn w:val="CommentTextChar"/>
    <w:link w:val="CommentSubject"/>
    <w:uiPriority w:val="99"/>
    <w:semiHidden/>
    <w:rsid w:val="00030049"/>
    <w:rPr>
      <w:b/>
      <w:bCs/>
      <w:sz w:val="20"/>
      <w:szCs w:val="20"/>
    </w:rPr>
  </w:style>
  <w:style w:type="paragraph" w:styleId="BalloonText">
    <w:name w:val="Balloon Text"/>
    <w:basedOn w:val="Normal"/>
    <w:link w:val="BalloonTextChar"/>
    <w:uiPriority w:val="99"/>
    <w:semiHidden/>
    <w:unhideWhenUsed/>
    <w:rsid w:val="000300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49"/>
    <w:rPr>
      <w:rFonts w:ascii="Segoe UI" w:hAnsi="Segoe UI" w:cs="Segoe UI"/>
      <w:sz w:val="18"/>
      <w:szCs w:val="18"/>
    </w:rPr>
  </w:style>
  <w:style w:type="character" w:styleId="FollowedHyperlink">
    <w:name w:val="FollowedHyperlink"/>
    <w:basedOn w:val="DefaultParagraphFont"/>
    <w:uiPriority w:val="99"/>
    <w:semiHidden/>
    <w:unhideWhenUsed/>
    <w:rsid w:val="00EF0D13"/>
    <w:rPr>
      <w:color w:val="800080" w:themeColor="followedHyperlink"/>
      <w:u w:val="single"/>
    </w:rPr>
  </w:style>
  <w:style w:type="paragraph" w:styleId="Header">
    <w:name w:val="header"/>
    <w:basedOn w:val="Normal"/>
    <w:link w:val="HeaderChar"/>
    <w:uiPriority w:val="99"/>
    <w:unhideWhenUsed/>
    <w:rsid w:val="001D3CFB"/>
    <w:pPr>
      <w:tabs>
        <w:tab w:val="center" w:pos="4513"/>
        <w:tab w:val="right" w:pos="9026"/>
      </w:tabs>
      <w:spacing w:line="240" w:lineRule="auto"/>
    </w:pPr>
  </w:style>
  <w:style w:type="character" w:customStyle="1" w:styleId="HeaderChar">
    <w:name w:val="Header Char"/>
    <w:basedOn w:val="DefaultParagraphFont"/>
    <w:link w:val="Header"/>
    <w:uiPriority w:val="99"/>
    <w:rsid w:val="001D3CFB"/>
  </w:style>
  <w:style w:type="paragraph" w:styleId="Footer">
    <w:name w:val="footer"/>
    <w:basedOn w:val="Normal"/>
    <w:link w:val="FooterChar"/>
    <w:uiPriority w:val="99"/>
    <w:unhideWhenUsed/>
    <w:rsid w:val="001D3CFB"/>
    <w:pPr>
      <w:tabs>
        <w:tab w:val="center" w:pos="4513"/>
        <w:tab w:val="right" w:pos="9026"/>
      </w:tabs>
      <w:spacing w:line="240" w:lineRule="auto"/>
    </w:pPr>
  </w:style>
  <w:style w:type="character" w:customStyle="1" w:styleId="FooterChar">
    <w:name w:val="Footer Char"/>
    <w:basedOn w:val="DefaultParagraphFont"/>
    <w:link w:val="Footer"/>
    <w:uiPriority w:val="99"/>
    <w:rsid w:val="001D3CFB"/>
  </w:style>
  <w:style w:type="paragraph" w:styleId="FootnoteText">
    <w:name w:val="footnote text"/>
    <w:basedOn w:val="Normal"/>
    <w:link w:val="FootnoteTextChar"/>
    <w:uiPriority w:val="99"/>
    <w:semiHidden/>
    <w:unhideWhenUsed/>
    <w:rsid w:val="00F52336"/>
    <w:pPr>
      <w:spacing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F52336"/>
    <w:rPr>
      <w:rFonts w:asciiTheme="minorHAnsi" w:eastAsiaTheme="minorHAnsi" w:hAnsiTheme="minorHAnsi" w:cstheme="minorBidi"/>
      <w:sz w:val="20"/>
      <w:szCs w:val="20"/>
      <w:lang w:val="en-GB" w:eastAsia="en-US"/>
    </w:rPr>
  </w:style>
  <w:style w:type="paragraph" w:styleId="NoSpacing">
    <w:name w:val="No Spacing"/>
    <w:uiPriority w:val="1"/>
    <w:qFormat/>
    <w:rsid w:val="00F52336"/>
    <w:pPr>
      <w:spacing w:line="240" w:lineRule="auto"/>
    </w:pPr>
    <w:rPr>
      <w:rFonts w:ascii="Calibri" w:eastAsia="Calibri" w:hAnsi="Calibri" w:cs="Times New Roman"/>
      <w:sz w:val="24"/>
      <w:szCs w:val="24"/>
      <w:lang w:val="en-GB" w:eastAsia="en-US"/>
    </w:rPr>
  </w:style>
  <w:style w:type="character" w:styleId="FootnoteReference">
    <w:name w:val="footnote reference"/>
    <w:basedOn w:val="DefaultParagraphFont"/>
    <w:uiPriority w:val="99"/>
    <w:semiHidden/>
    <w:unhideWhenUsed/>
    <w:rsid w:val="00F52336"/>
    <w:rPr>
      <w:vertAlign w:val="superscript"/>
    </w:rPr>
  </w:style>
  <w:style w:type="character" w:styleId="UnresolvedMention">
    <w:name w:val="Unresolved Mention"/>
    <w:basedOn w:val="DefaultParagraphFont"/>
    <w:uiPriority w:val="99"/>
    <w:semiHidden/>
    <w:unhideWhenUsed/>
    <w:rsid w:val="00DF1D75"/>
    <w:rPr>
      <w:color w:val="605E5C"/>
      <w:shd w:val="clear" w:color="auto" w:fill="E1DFDD"/>
    </w:rPr>
  </w:style>
  <w:style w:type="paragraph" w:styleId="NormalWeb">
    <w:name w:val="Normal (Web)"/>
    <w:basedOn w:val="Normal"/>
    <w:uiPriority w:val="99"/>
    <w:unhideWhenUsed/>
    <w:rsid w:val="00C17A02"/>
    <w:pPr>
      <w:spacing w:before="100" w:beforeAutospacing="1" w:after="100" w:afterAutospacing="1" w:line="240" w:lineRule="auto"/>
    </w:pPr>
    <w:rPr>
      <w:rFonts w:ascii="Calibri" w:eastAsiaTheme="minorHAnsi" w:hAnsi="Calibri" w:cs="Calibri"/>
      <w:lang w:val="en-GB"/>
    </w:rPr>
  </w:style>
  <w:style w:type="paragraph" w:customStyle="1" w:styleId="TableParagraph">
    <w:name w:val="Table Paragraph"/>
    <w:basedOn w:val="Normal"/>
    <w:uiPriority w:val="1"/>
    <w:qFormat/>
    <w:rsid w:val="006E661C"/>
    <w:pPr>
      <w:widowControl w:val="0"/>
      <w:autoSpaceDE w:val="0"/>
      <w:autoSpaceDN w:val="0"/>
      <w:spacing w:line="240" w:lineRule="auto"/>
    </w:pPr>
    <w:rPr>
      <w:rFonts w:ascii="Calibri" w:eastAsia="Calibri" w:hAnsi="Calibri" w:cs="Calibri"/>
      <w:lang w:val="en-GB" w:bidi="en-GB"/>
    </w:rPr>
  </w:style>
  <w:style w:type="character" w:customStyle="1" w:styleId="normaltextrun">
    <w:name w:val="normaltextrun"/>
    <w:rsid w:val="006E661C"/>
  </w:style>
  <w:style w:type="table" w:styleId="TableGrid">
    <w:name w:val="Table Grid"/>
    <w:basedOn w:val="TableNormal"/>
    <w:uiPriority w:val="39"/>
    <w:rsid w:val="00D241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0717">
      <w:bodyDiv w:val="1"/>
      <w:marLeft w:val="0"/>
      <w:marRight w:val="0"/>
      <w:marTop w:val="0"/>
      <w:marBottom w:val="0"/>
      <w:divBdr>
        <w:top w:val="none" w:sz="0" w:space="0" w:color="auto"/>
        <w:left w:val="none" w:sz="0" w:space="0" w:color="auto"/>
        <w:bottom w:val="none" w:sz="0" w:space="0" w:color="auto"/>
        <w:right w:val="none" w:sz="0" w:space="0" w:color="auto"/>
      </w:divBdr>
    </w:div>
    <w:div w:id="93986968">
      <w:bodyDiv w:val="1"/>
      <w:marLeft w:val="0"/>
      <w:marRight w:val="0"/>
      <w:marTop w:val="0"/>
      <w:marBottom w:val="0"/>
      <w:divBdr>
        <w:top w:val="none" w:sz="0" w:space="0" w:color="auto"/>
        <w:left w:val="none" w:sz="0" w:space="0" w:color="auto"/>
        <w:bottom w:val="none" w:sz="0" w:space="0" w:color="auto"/>
        <w:right w:val="none" w:sz="0" w:space="0" w:color="auto"/>
      </w:divBdr>
    </w:div>
    <w:div w:id="97525532">
      <w:bodyDiv w:val="1"/>
      <w:marLeft w:val="0"/>
      <w:marRight w:val="0"/>
      <w:marTop w:val="0"/>
      <w:marBottom w:val="0"/>
      <w:divBdr>
        <w:top w:val="none" w:sz="0" w:space="0" w:color="auto"/>
        <w:left w:val="none" w:sz="0" w:space="0" w:color="auto"/>
        <w:bottom w:val="none" w:sz="0" w:space="0" w:color="auto"/>
        <w:right w:val="none" w:sz="0" w:space="0" w:color="auto"/>
      </w:divBdr>
    </w:div>
    <w:div w:id="164134822">
      <w:bodyDiv w:val="1"/>
      <w:marLeft w:val="0"/>
      <w:marRight w:val="0"/>
      <w:marTop w:val="0"/>
      <w:marBottom w:val="0"/>
      <w:divBdr>
        <w:top w:val="none" w:sz="0" w:space="0" w:color="auto"/>
        <w:left w:val="none" w:sz="0" w:space="0" w:color="auto"/>
        <w:bottom w:val="none" w:sz="0" w:space="0" w:color="auto"/>
        <w:right w:val="none" w:sz="0" w:space="0" w:color="auto"/>
      </w:divBdr>
    </w:div>
    <w:div w:id="181362945">
      <w:bodyDiv w:val="1"/>
      <w:marLeft w:val="0"/>
      <w:marRight w:val="0"/>
      <w:marTop w:val="0"/>
      <w:marBottom w:val="0"/>
      <w:divBdr>
        <w:top w:val="none" w:sz="0" w:space="0" w:color="auto"/>
        <w:left w:val="none" w:sz="0" w:space="0" w:color="auto"/>
        <w:bottom w:val="none" w:sz="0" w:space="0" w:color="auto"/>
        <w:right w:val="none" w:sz="0" w:space="0" w:color="auto"/>
      </w:divBdr>
    </w:div>
    <w:div w:id="286593194">
      <w:bodyDiv w:val="1"/>
      <w:marLeft w:val="0"/>
      <w:marRight w:val="0"/>
      <w:marTop w:val="0"/>
      <w:marBottom w:val="0"/>
      <w:divBdr>
        <w:top w:val="none" w:sz="0" w:space="0" w:color="auto"/>
        <w:left w:val="none" w:sz="0" w:space="0" w:color="auto"/>
        <w:bottom w:val="none" w:sz="0" w:space="0" w:color="auto"/>
        <w:right w:val="none" w:sz="0" w:space="0" w:color="auto"/>
      </w:divBdr>
    </w:div>
    <w:div w:id="666636175">
      <w:bodyDiv w:val="1"/>
      <w:marLeft w:val="0"/>
      <w:marRight w:val="0"/>
      <w:marTop w:val="0"/>
      <w:marBottom w:val="0"/>
      <w:divBdr>
        <w:top w:val="none" w:sz="0" w:space="0" w:color="auto"/>
        <w:left w:val="none" w:sz="0" w:space="0" w:color="auto"/>
        <w:bottom w:val="none" w:sz="0" w:space="0" w:color="auto"/>
        <w:right w:val="none" w:sz="0" w:space="0" w:color="auto"/>
      </w:divBdr>
    </w:div>
    <w:div w:id="701127783">
      <w:bodyDiv w:val="1"/>
      <w:marLeft w:val="0"/>
      <w:marRight w:val="0"/>
      <w:marTop w:val="0"/>
      <w:marBottom w:val="0"/>
      <w:divBdr>
        <w:top w:val="none" w:sz="0" w:space="0" w:color="auto"/>
        <w:left w:val="none" w:sz="0" w:space="0" w:color="auto"/>
        <w:bottom w:val="none" w:sz="0" w:space="0" w:color="auto"/>
        <w:right w:val="none" w:sz="0" w:space="0" w:color="auto"/>
      </w:divBdr>
    </w:div>
    <w:div w:id="707989529">
      <w:bodyDiv w:val="1"/>
      <w:marLeft w:val="0"/>
      <w:marRight w:val="0"/>
      <w:marTop w:val="0"/>
      <w:marBottom w:val="0"/>
      <w:divBdr>
        <w:top w:val="none" w:sz="0" w:space="0" w:color="auto"/>
        <w:left w:val="none" w:sz="0" w:space="0" w:color="auto"/>
        <w:bottom w:val="none" w:sz="0" w:space="0" w:color="auto"/>
        <w:right w:val="none" w:sz="0" w:space="0" w:color="auto"/>
      </w:divBdr>
    </w:div>
    <w:div w:id="1024403722">
      <w:bodyDiv w:val="1"/>
      <w:marLeft w:val="0"/>
      <w:marRight w:val="0"/>
      <w:marTop w:val="0"/>
      <w:marBottom w:val="0"/>
      <w:divBdr>
        <w:top w:val="none" w:sz="0" w:space="0" w:color="auto"/>
        <w:left w:val="none" w:sz="0" w:space="0" w:color="auto"/>
        <w:bottom w:val="none" w:sz="0" w:space="0" w:color="auto"/>
        <w:right w:val="none" w:sz="0" w:space="0" w:color="auto"/>
      </w:divBdr>
    </w:div>
    <w:div w:id="1073625412">
      <w:bodyDiv w:val="1"/>
      <w:marLeft w:val="0"/>
      <w:marRight w:val="0"/>
      <w:marTop w:val="0"/>
      <w:marBottom w:val="0"/>
      <w:divBdr>
        <w:top w:val="none" w:sz="0" w:space="0" w:color="auto"/>
        <w:left w:val="none" w:sz="0" w:space="0" w:color="auto"/>
        <w:bottom w:val="none" w:sz="0" w:space="0" w:color="auto"/>
        <w:right w:val="none" w:sz="0" w:space="0" w:color="auto"/>
      </w:divBdr>
    </w:div>
    <w:div w:id="1102146338">
      <w:bodyDiv w:val="1"/>
      <w:marLeft w:val="0"/>
      <w:marRight w:val="0"/>
      <w:marTop w:val="0"/>
      <w:marBottom w:val="0"/>
      <w:divBdr>
        <w:top w:val="none" w:sz="0" w:space="0" w:color="auto"/>
        <w:left w:val="none" w:sz="0" w:space="0" w:color="auto"/>
        <w:bottom w:val="none" w:sz="0" w:space="0" w:color="auto"/>
        <w:right w:val="none" w:sz="0" w:space="0" w:color="auto"/>
      </w:divBdr>
    </w:div>
    <w:div w:id="1165128355">
      <w:bodyDiv w:val="1"/>
      <w:marLeft w:val="0"/>
      <w:marRight w:val="0"/>
      <w:marTop w:val="0"/>
      <w:marBottom w:val="0"/>
      <w:divBdr>
        <w:top w:val="none" w:sz="0" w:space="0" w:color="auto"/>
        <w:left w:val="none" w:sz="0" w:space="0" w:color="auto"/>
        <w:bottom w:val="none" w:sz="0" w:space="0" w:color="auto"/>
        <w:right w:val="none" w:sz="0" w:space="0" w:color="auto"/>
      </w:divBdr>
    </w:div>
    <w:div w:id="1249774613">
      <w:bodyDiv w:val="1"/>
      <w:marLeft w:val="0"/>
      <w:marRight w:val="0"/>
      <w:marTop w:val="0"/>
      <w:marBottom w:val="0"/>
      <w:divBdr>
        <w:top w:val="none" w:sz="0" w:space="0" w:color="auto"/>
        <w:left w:val="none" w:sz="0" w:space="0" w:color="auto"/>
        <w:bottom w:val="none" w:sz="0" w:space="0" w:color="auto"/>
        <w:right w:val="none" w:sz="0" w:space="0" w:color="auto"/>
      </w:divBdr>
    </w:div>
    <w:div w:id="1275479061">
      <w:bodyDiv w:val="1"/>
      <w:marLeft w:val="0"/>
      <w:marRight w:val="0"/>
      <w:marTop w:val="0"/>
      <w:marBottom w:val="0"/>
      <w:divBdr>
        <w:top w:val="none" w:sz="0" w:space="0" w:color="auto"/>
        <w:left w:val="none" w:sz="0" w:space="0" w:color="auto"/>
        <w:bottom w:val="none" w:sz="0" w:space="0" w:color="auto"/>
        <w:right w:val="none" w:sz="0" w:space="0" w:color="auto"/>
      </w:divBdr>
    </w:div>
    <w:div w:id="1275673622">
      <w:bodyDiv w:val="1"/>
      <w:marLeft w:val="0"/>
      <w:marRight w:val="0"/>
      <w:marTop w:val="0"/>
      <w:marBottom w:val="0"/>
      <w:divBdr>
        <w:top w:val="none" w:sz="0" w:space="0" w:color="auto"/>
        <w:left w:val="none" w:sz="0" w:space="0" w:color="auto"/>
        <w:bottom w:val="none" w:sz="0" w:space="0" w:color="auto"/>
        <w:right w:val="none" w:sz="0" w:space="0" w:color="auto"/>
      </w:divBdr>
    </w:div>
    <w:div w:id="1337730108">
      <w:bodyDiv w:val="1"/>
      <w:marLeft w:val="0"/>
      <w:marRight w:val="0"/>
      <w:marTop w:val="0"/>
      <w:marBottom w:val="0"/>
      <w:divBdr>
        <w:top w:val="none" w:sz="0" w:space="0" w:color="auto"/>
        <w:left w:val="none" w:sz="0" w:space="0" w:color="auto"/>
        <w:bottom w:val="none" w:sz="0" w:space="0" w:color="auto"/>
        <w:right w:val="none" w:sz="0" w:space="0" w:color="auto"/>
      </w:divBdr>
    </w:div>
    <w:div w:id="1354264100">
      <w:bodyDiv w:val="1"/>
      <w:marLeft w:val="0"/>
      <w:marRight w:val="0"/>
      <w:marTop w:val="0"/>
      <w:marBottom w:val="0"/>
      <w:divBdr>
        <w:top w:val="none" w:sz="0" w:space="0" w:color="auto"/>
        <w:left w:val="none" w:sz="0" w:space="0" w:color="auto"/>
        <w:bottom w:val="none" w:sz="0" w:space="0" w:color="auto"/>
        <w:right w:val="none" w:sz="0" w:space="0" w:color="auto"/>
      </w:divBdr>
    </w:div>
    <w:div w:id="1749770616">
      <w:bodyDiv w:val="1"/>
      <w:marLeft w:val="0"/>
      <w:marRight w:val="0"/>
      <w:marTop w:val="0"/>
      <w:marBottom w:val="0"/>
      <w:divBdr>
        <w:top w:val="none" w:sz="0" w:space="0" w:color="auto"/>
        <w:left w:val="none" w:sz="0" w:space="0" w:color="auto"/>
        <w:bottom w:val="none" w:sz="0" w:space="0" w:color="auto"/>
        <w:right w:val="none" w:sz="0" w:space="0" w:color="auto"/>
      </w:divBdr>
    </w:div>
    <w:div w:id="1775133907">
      <w:bodyDiv w:val="1"/>
      <w:marLeft w:val="0"/>
      <w:marRight w:val="0"/>
      <w:marTop w:val="0"/>
      <w:marBottom w:val="0"/>
      <w:divBdr>
        <w:top w:val="none" w:sz="0" w:space="0" w:color="auto"/>
        <w:left w:val="none" w:sz="0" w:space="0" w:color="auto"/>
        <w:bottom w:val="none" w:sz="0" w:space="0" w:color="auto"/>
        <w:right w:val="none" w:sz="0" w:space="0" w:color="auto"/>
      </w:divBdr>
    </w:div>
    <w:div w:id="1776560113">
      <w:bodyDiv w:val="1"/>
      <w:marLeft w:val="0"/>
      <w:marRight w:val="0"/>
      <w:marTop w:val="0"/>
      <w:marBottom w:val="0"/>
      <w:divBdr>
        <w:top w:val="none" w:sz="0" w:space="0" w:color="auto"/>
        <w:left w:val="none" w:sz="0" w:space="0" w:color="auto"/>
        <w:bottom w:val="none" w:sz="0" w:space="0" w:color="auto"/>
        <w:right w:val="none" w:sz="0" w:space="0" w:color="auto"/>
      </w:divBdr>
    </w:div>
    <w:div w:id="1804495877">
      <w:bodyDiv w:val="1"/>
      <w:marLeft w:val="0"/>
      <w:marRight w:val="0"/>
      <w:marTop w:val="0"/>
      <w:marBottom w:val="0"/>
      <w:divBdr>
        <w:top w:val="none" w:sz="0" w:space="0" w:color="auto"/>
        <w:left w:val="none" w:sz="0" w:space="0" w:color="auto"/>
        <w:bottom w:val="none" w:sz="0" w:space="0" w:color="auto"/>
        <w:right w:val="none" w:sz="0" w:space="0" w:color="auto"/>
      </w:divBdr>
    </w:div>
    <w:div w:id="1878658294">
      <w:bodyDiv w:val="1"/>
      <w:marLeft w:val="0"/>
      <w:marRight w:val="0"/>
      <w:marTop w:val="0"/>
      <w:marBottom w:val="0"/>
      <w:divBdr>
        <w:top w:val="none" w:sz="0" w:space="0" w:color="auto"/>
        <w:left w:val="none" w:sz="0" w:space="0" w:color="auto"/>
        <w:bottom w:val="none" w:sz="0" w:space="0" w:color="auto"/>
        <w:right w:val="none" w:sz="0" w:space="0" w:color="auto"/>
      </w:divBdr>
    </w:div>
    <w:div w:id="1965303353">
      <w:bodyDiv w:val="1"/>
      <w:marLeft w:val="0"/>
      <w:marRight w:val="0"/>
      <w:marTop w:val="0"/>
      <w:marBottom w:val="0"/>
      <w:divBdr>
        <w:top w:val="none" w:sz="0" w:space="0" w:color="auto"/>
        <w:left w:val="none" w:sz="0" w:space="0" w:color="auto"/>
        <w:bottom w:val="none" w:sz="0" w:space="0" w:color="auto"/>
        <w:right w:val="none" w:sz="0" w:space="0" w:color="auto"/>
      </w:divBdr>
    </w:div>
    <w:div w:id="1997222637">
      <w:bodyDiv w:val="1"/>
      <w:marLeft w:val="0"/>
      <w:marRight w:val="0"/>
      <w:marTop w:val="0"/>
      <w:marBottom w:val="0"/>
      <w:divBdr>
        <w:top w:val="none" w:sz="0" w:space="0" w:color="auto"/>
        <w:left w:val="none" w:sz="0" w:space="0" w:color="auto"/>
        <w:bottom w:val="none" w:sz="0" w:space="0" w:color="auto"/>
        <w:right w:val="none" w:sz="0" w:space="0" w:color="auto"/>
      </w:divBdr>
    </w:div>
    <w:div w:id="203326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advice-for-uk-visa-applicants-and-temporary-uk-residents" TargetMode="External"/><Relationship Id="rId13" Type="http://schemas.openxmlformats.org/officeDocument/2006/relationships/hyperlink" Target="https://uk.tlscontact.com/" TargetMode="External"/><Relationship Id="rId18" Type="http://schemas.openxmlformats.org/officeDocument/2006/relationships/hyperlink" Target="https://www.gov.uk/government/organisations/public-health-england" TargetMode="External"/><Relationship Id="rId26" Type="http://schemas.openxmlformats.org/officeDocument/2006/relationships/hyperlink" Target="https://www.gov.uk/government/publications/uk-points-based-immigration-system-further-details-statement/uk-points-based-immigration-system-further-details-statement" TargetMode="External"/><Relationship Id="rId3" Type="http://schemas.openxmlformats.org/officeDocument/2006/relationships/styles" Target="styles.xml"/><Relationship Id="rId21" Type="http://schemas.openxmlformats.org/officeDocument/2006/relationships/hyperlink" Target="https://gbr01.safelinks.protection.outlook.com/?url=https%3A%2F%2Fwww.gov.uk%2Fguidance%2Fcoronavirus-covid-19-advice-for-uk-visa-applicants-and-temporary-uk-residents&amp;data=04%7C01%7CLucy.Davies14%40homeoffice.gov.uk%7Cb18281abd116461a0f0e08d8d4180e41%7Cf24d93ecb2914192a08af182245945c2%7C0%7C0%7C637492547065738727%7CUnknown%7CTWFpbGZsb3d8eyJWIjoiMC4wLjAwMDAiLCJQIjoiV2luMzIiLCJBTiI6Ik1haWwiLCJXVCI6Mn0%3D%7C1000&amp;sdata=dIr4IzWnA1AzKTCj3SM6vmzkpyllw7MoMWgKntjFjs8%3D&amp;reserved=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coronavirus-covid-19-student-sponsors-migrants-and-short-term-students" TargetMode="External"/><Relationship Id="rId17" Type="http://schemas.openxmlformats.org/officeDocument/2006/relationships/hyperlink" Target="https://www.gov.uk/ukvcas" TargetMode="External"/><Relationship Id="rId25" Type="http://schemas.openxmlformats.org/officeDocument/2006/relationships/hyperlink" Target="https://assets.publishing.service.gov.uk/government/uploads/system/uploads/attachment_data/file/946067/2020-12-18_Sponsor-guidance-Appendix-D-12-20_v2.0__002_.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cancel-visa" TargetMode="External"/><Relationship Id="rId20" Type="http://schemas.openxmlformats.org/officeDocument/2006/relationships/hyperlink" Target="mailto:CIH@homeoffice.gov.uk" TargetMode="External"/><Relationship Id="rId29" Type="http://schemas.openxmlformats.org/officeDocument/2006/relationships/hyperlink" Target="https://www.gov.uk/guidance/coronavirus-covid-19-advice-for-uk-visa-applicants-and-temporary-uk-resi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1917/long-residence-v16.0ext.pdf" TargetMode="External"/><Relationship Id="rId24" Type="http://schemas.openxmlformats.org/officeDocument/2006/relationships/hyperlink" Target="https://webarchive.nationalarchives.gov.uk/20201203001513/https:/www.gov.uk/government/publications/keep-records-for-sponsorship-appendix-d"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sas-immigration.service.gov.uk/apply-uk-visa" TargetMode="External"/><Relationship Id="rId23" Type="http://schemas.openxmlformats.org/officeDocument/2006/relationships/hyperlink" Target="https://gbr01.safelinks.protection.outlook.com/?url=https%3A%2F%2Fwww.gov.uk%2Fguidance%2Fcoronavirus-covid-19-eu-settlement-scheme-guidance-for-applicants&amp;data=04%7C01%7CLucy.Davies14%40homeoffice.gov.uk%7C60424d6b496548cf12dc08d8ceab72d8%7Cf24d93ecb2914192a08af182245945c2%7C0%7C0%7C637486583040539488%7CUnknown%7CTWFpbGZsb3d8eyJWIjoiMC4wLjAwMDAiLCJQIjoiV2luMzIiLCJBTiI6Ik1haWwiLCJXVCI6Mn0%3D%7C1000&amp;sdata=cHQYUG9Gl1ZlgV2EQ8kmUDM%2FtXBY6eKDrS0JGKrmpbk%3D&amp;reserved=0" TargetMode="External"/><Relationship Id="rId28" Type="http://schemas.openxmlformats.org/officeDocument/2006/relationships/hyperlink" Target="https://gbr01.safelinks.protection.outlook.com/?url=https%3A%2F%2Fwww.gov.uk%2Fgovernment%2Fpublications%2Fkeep-records-for-sponsorship-appendix-d&amp;data=04%7C01%7CLucy.Davies14%40homeoffice.gov.uk%7Ce6ebe895dbfa49cd824308d8e89f867e%7Cf24d93ecb2914192a08af182245945c2%7C0%7C0%7C637515119133121579%7CUnknown%7CTWFpbGZsb3d8eyJWIjoiMC4wLjAwMDAiLCJQIjoiV2luMzIiLCJBTiI6Ik1haWwiLCJXVCI6Mn0%3D%7C1000&amp;sdata=79wzOwzqy7WUO6hw1MwlAZOSFOnHCD0gqfigw8yNExU%3D&amp;reserved=0" TargetMode="External"/><Relationship Id="rId36" Type="http://schemas.openxmlformats.org/officeDocument/2006/relationships/fontTable" Target="fontTable.xml"/><Relationship Id="rId10" Type="http://schemas.openxmlformats.org/officeDocument/2006/relationships/hyperlink" Target="https://gbr01.safelinks.protection.outlook.com/?url=https%3A%2F%2Fwww.gov.uk%2Fguidance%2Fcoronavirus-covid-19-advice-for-uk-visa-applicants-and-temporary-uk-residents&amp;data=04%7C01%7CSally.Keoghan%40homeoffice.gov.uk%7C3ee2bb2d28f34dc3ed5008d8ea10c7b5%7Cf24d93ecb2914192a08af182245945c2%7C0%7C0%7C637516705070517663%7CUnknown%7CTWFpbGZsb3d8eyJWIjoiMC4wLjAwMDAiLCJQIjoiV2luMzIiLCJBTiI6Ik1haWwiLCJXVCI6Mn0%3D%7C1000&amp;sdata=fRGaPoiGZas1KN2%2Balv632utmEkGNJW%2FR2Ag5jVf5Ow%3D&amp;reserved=0" TargetMode="External"/><Relationship Id="rId19" Type="http://schemas.openxmlformats.org/officeDocument/2006/relationships/hyperlink" Target="https://www.gov.uk/returning-resident-vis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ebarchive.nationalarchives.gov.uk/*/https://www.gov.uk/guidance/coronavirus-covid-19-advice-for-uk-visa-applicants-and-temporary-uk-residents" TargetMode="External"/><Relationship Id="rId14" Type="http://schemas.openxmlformats.org/officeDocument/2006/relationships/hyperlink" Target="https://www.vfsglobal.co.uk/" TargetMode="External"/><Relationship Id="rId22" Type="http://schemas.openxmlformats.org/officeDocument/2006/relationships/hyperlink" Target="mailto:CIH@homeoffice.gov.uk" TargetMode="External"/><Relationship Id="rId27" Type="http://schemas.openxmlformats.org/officeDocument/2006/relationships/hyperlink" Target="https://assets.publishing.service.gov.uk/government/uploads/system/uploads/attachment_data/file/946067/2020-12-18_Sponsor-guidance-Appendix-D-12-20_v2.0__002_.pdf"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visa-regulations-revised-table/home-office-immigration-and-nationality-fees-31-january-2021" TargetMode="External"/><Relationship Id="rId2" Type="http://schemas.openxmlformats.org/officeDocument/2006/relationships/hyperlink" Target="https://www.gov.uk/guidance/coronavirus-covid-19-advice-for-uk-visa-applicants-and-temporary-uk-residents" TargetMode="External"/><Relationship Id="rId1" Type="http://schemas.openxmlformats.org/officeDocument/2006/relationships/hyperlink" Target="https://ilpa.org.uk/home-office-responses-to-ilpa-and-the-law-societys-recommendations-on-covid-19-immigration-impact-18-november-2020/" TargetMode="External"/><Relationship Id="rId5" Type="http://schemas.openxmlformats.org/officeDocument/2006/relationships/hyperlink" Target="https://assets.publishing.service.gov.uk/government/uploads/system/uploads/attachment_data/file/958708/returning-residents-v3.0ext.pdf" TargetMode="External"/><Relationship Id="rId4" Type="http://schemas.openxmlformats.org/officeDocument/2006/relationships/hyperlink" Target="https://www.gov.uk/healthcare-immigration-application/how-much-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AACCC-3D27-4E6A-80B2-4DA14E42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CAA23D24</Template>
  <TotalTime>10</TotalTime>
  <Pages>20</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Lenegan</dc:creator>
  <cp:lastModifiedBy>Debbie Reynolds</cp:lastModifiedBy>
  <cp:revision>7</cp:revision>
  <dcterms:created xsi:type="dcterms:W3CDTF">2021-03-17T11:49:00Z</dcterms:created>
  <dcterms:modified xsi:type="dcterms:W3CDTF">2021-03-31T12:51:00Z</dcterms:modified>
</cp:coreProperties>
</file>