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0C29" w14:textId="68CA5278"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Immigration </w:t>
      </w:r>
      <w:r w:rsidR="514D4AB8" w:rsidRPr="47D51BD3">
        <w:rPr>
          <w:rFonts w:ascii="Arial" w:eastAsia="Arial" w:hAnsi="Arial" w:cs="Arial"/>
          <w:b/>
          <w:color w:val="404A68"/>
          <w:sz w:val="22"/>
          <w:szCs w:val="22"/>
        </w:rPr>
        <w:t>and</w:t>
      </w:r>
      <w:r w:rsidRPr="47D51BD3">
        <w:rPr>
          <w:rFonts w:ascii="Arial" w:eastAsia="Arial" w:hAnsi="Arial" w:cs="Arial"/>
          <w:b/>
          <w:color w:val="404A68"/>
          <w:sz w:val="22"/>
          <w:szCs w:val="22"/>
        </w:rPr>
        <w:t xml:space="preserve"> Asylum Bill </w:t>
      </w:r>
      <w:r w:rsidR="3B7143A0" w:rsidRPr="47D51BD3">
        <w:rPr>
          <w:rFonts w:ascii="Arial" w:eastAsia="Arial" w:hAnsi="Arial" w:cs="Arial"/>
          <w:b/>
          <w:color w:val="404A68"/>
          <w:sz w:val="22"/>
          <w:szCs w:val="22"/>
        </w:rPr>
        <w:t xml:space="preserve">2026 </w:t>
      </w:r>
    </w:p>
    <w:p w14:paraId="295C6D9A" w14:textId="53655EE1" w:rsidR="00F10C17" w:rsidRPr="009908E8" w:rsidRDefault="0A4E7F1E"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House of Commons</w:t>
      </w:r>
      <w:r w:rsidR="2E59C3F3" w:rsidRPr="47D51BD3">
        <w:rPr>
          <w:rFonts w:ascii="Arial" w:eastAsia="Arial" w:hAnsi="Arial" w:cs="Arial"/>
          <w:b/>
          <w:color w:val="404A68"/>
          <w:sz w:val="22"/>
          <w:szCs w:val="22"/>
        </w:rPr>
        <w:t xml:space="preserve">, </w:t>
      </w:r>
      <w:r w:rsidR="3B7143A0" w:rsidRPr="47D51BD3">
        <w:rPr>
          <w:rFonts w:ascii="Arial" w:eastAsia="Arial" w:hAnsi="Arial" w:cs="Arial"/>
          <w:b/>
          <w:color w:val="404A68"/>
          <w:sz w:val="22"/>
          <w:szCs w:val="22"/>
        </w:rPr>
        <w:t xml:space="preserve">Second </w:t>
      </w:r>
      <w:r w:rsidR="40764BD3" w:rsidRPr="47D51BD3">
        <w:rPr>
          <w:rFonts w:ascii="Arial" w:eastAsia="Arial" w:hAnsi="Arial" w:cs="Arial"/>
          <w:b/>
          <w:color w:val="404A68"/>
          <w:sz w:val="22"/>
          <w:szCs w:val="22"/>
        </w:rPr>
        <w:t xml:space="preserve">Reading </w:t>
      </w:r>
      <w:r w:rsidR="3B7143A0" w:rsidRPr="47D51BD3">
        <w:rPr>
          <w:rFonts w:ascii="Arial" w:eastAsia="Arial" w:hAnsi="Arial" w:cs="Arial"/>
          <w:b/>
          <w:color w:val="404A68"/>
          <w:sz w:val="22"/>
          <w:szCs w:val="22"/>
        </w:rPr>
        <w:t xml:space="preserve">Briefing </w:t>
      </w:r>
    </w:p>
    <w:p w14:paraId="43296FC1" w14:textId="77777777" w:rsidR="0080340B" w:rsidRDefault="0080340B" w:rsidP="0080340B">
      <w:pPr>
        <w:widowControl w:val="0"/>
        <w:autoSpaceDE w:val="0"/>
        <w:autoSpaceDN w:val="0"/>
        <w:spacing w:after="0" w:line="240" w:lineRule="auto"/>
        <w:ind w:left="23"/>
        <w:outlineLvl w:val="0"/>
        <w:rPr>
          <w:rFonts w:ascii="Arial" w:eastAsia="Arial" w:hAnsi="Arial" w:cs="Arial"/>
          <w:b/>
          <w:bCs/>
          <w:color w:val="404968"/>
          <w:kern w:val="0"/>
          <w:sz w:val="22"/>
          <w:szCs w:val="22"/>
          <w:lang w:val="en-US"/>
          <w14:ligatures w14:val="none"/>
        </w:rPr>
      </w:pPr>
    </w:p>
    <w:p w14:paraId="4DAFF5FD" w14:textId="77777777" w:rsidR="0080340B" w:rsidRDefault="0080340B" w:rsidP="0080340B">
      <w:pPr>
        <w:widowControl w:val="0"/>
        <w:autoSpaceDE w:val="0"/>
        <w:autoSpaceDN w:val="0"/>
        <w:spacing w:after="0" w:line="240" w:lineRule="auto"/>
        <w:ind w:left="23"/>
        <w:outlineLvl w:val="0"/>
        <w:rPr>
          <w:rFonts w:ascii="Arial" w:eastAsia="Arial" w:hAnsi="Arial" w:cs="Arial"/>
          <w:b/>
          <w:bCs/>
          <w:color w:val="404968"/>
          <w:kern w:val="0"/>
          <w:sz w:val="22"/>
          <w:szCs w:val="22"/>
          <w:lang w:val="en-US"/>
          <w14:ligatures w14:val="none"/>
        </w:rPr>
      </w:pPr>
    </w:p>
    <w:p w14:paraId="5F2A7646" w14:textId="77777777" w:rsidR="00416946" w:rsidRDefault="00416946" w:rsidP="0080340B">
      <w:pPr>
        <w:widowControl w:val="0"/>
        <w:autoSpaceDE w:val="0"/>
        <w:autoSpaceDN w:val="0"/>
        <w:spacing w:after="0" w:line="240" w:lineRule="auto"/>
        <w:ind w:left="23"/>
        <w:outlineLvl w:val="0"/>
        <w:rPr>
          <w:rFonts w:ascii="Arial" w:eastAsia="Arial" w:hAnsi="Arial" w:cs="Arial"/>
          <w:b/>
          <w:bCs/>
          <w:color w:val="404968"/>
          <w:kern w:val="0"/>
          <w:sz w:val="22"/>
          <w:szCs w:val="22"/>
          <w:lang w:val="en-US"/>
          <w14:ligatures w14:val="none"/>
        </w:rPr>
      </w:pPr>
    </w:p>
    <w:p w14:paraId="5C6B47B6" w14:textId="77777777" w:rsidR="008B047E" w:rsidRDefault="008B047E" w:rsidP="0080340B">
      <w:pPr>
        <w:widowControl w:val="0"/>
        <w:autoSpaceDE w:val="0"/>
        <w:autoSpaceDN w:val="0"/>
        <w:spacing w:after="0" w:line="240" w:lineRule="auto"/>
        <w:ind w:left="23"/>
        <w:outlineLvl w:val="0"/>
        <w:rPr>
          <w:rFonts w:ascii="Arial" w:eastAsia="Arial" w:hAnsi="Arial" w:cs="Arial"/>
          <w:b/>
          <w:bCs/>
          <w:color w:val="404968"/>
          <w:kern w:val="0"/>
          <w:sz w:val="22"/>
          <w:szCs w:val="22"/>
          <w:lang w:val="en-US"/>
          <w14:ligatures w14:val="none"/>
        </w:rPr>
      </w:pPr>
    </w:p>
    <w:sdt>
      <w:sdtPr>
        <w:rPr>
          <w:rFonts w:ascii="Arial" w:eastAsia="Arial" w:hAnsi="Arial" w:cs="Arial"/>
          <w:b/>
          <w:bCs/>
          <w:i/>
          <w:iCs/>
          <w:kern w:val="0"/>
          <w:sz w:val="22"/>
          <w:szCs w:val="22"/>
          <w:lang w:val="en-US"/>
          <w14:ligatures w14:val="none"/>
        </w:rPr>
        <w:id w:val="312525608"/>
        <w:docPartObj>
          <w:docPartGallery w:val="Table of Contents"/>
          <w:docPartUnique/>
        </w:docPartObj>
      </w:sdtPr>
      <w:sdtEndPr/>
      <w:sdtContent>
        <w:p w14:paraId="126FF832" w14:textId="725D55F8" w:rsidR="007F0956" w:rsidRPr="007F0956" w:rsidRDefault="007F0956" w:rsidP="00426C6B">
          <w:pPr>
            <w:widowControl w:val="0"/>
            <w:tabs>
              <w:tab w:val="right" w:pos="8787"/>
            </w:tabs>
            <w:autoSpaceDE w:val="0"/>
            <w:autoSpaceDN w:val="0"/>
            <w:spacing w:before="316" w:after="0" w:line="240" w:lineRule="auto"/>
            <w:ind w:left="23"/>
            <w:rPr>
              <w:rFonts w:ascii="Arial" w:eastAsia="Arial" w:hAnsi="Arial" w:cs="Arial"/>
              <w:b/>
              <w:bCs/>
              <w:color w:val="156082" w:themeColor="accent1"/>
              <w:kern w:val="0"/>
              <w:sz w:val="22"/>
              <w:szCs w:val="22"/>
              <w:lang w:val="en-US"/>
              <w14:ligatures w14:val="none"/>
            </w:rPr>
          </w:pPr>
          <w:r w:rsidRPr="007F0956">
            <w:rPr>
              <w:rFonts w:ascii="Arial" w:eastAsia="Arial" w:hAnsi="Arial" w:cs="Arial"/>
              <w:b/>
              <w:bCs/>
              <w:color w:val="156082" w:themeColor="accent1"/>
              <w:kern w:val="0"/>
              <w:sz w:val="22"/>
              <w:szCs w:val="22"/>
              <w:lang w:val="en-US"/>
              <w14:ligatures w14:val="none"/>
            </w:rPr>
            <w:t>Table of Contents</w:t>
          </w:r>
        </w:p>
        <w:p w14:paraId="3905DCE8" w14:textId="4CCDE8FC" w:rsidR="00426C6B" w:rsidRPr="007F0956" w:rsidRDefault="00426C6B" w:rsidP="00426C6B">
          <w:pPr>
            <w:widowControl w:val="0"/>
            <w:tabs>
              <w:tab w:val="right" w:pos="8787"/>
            </w:tabs>
            <w:autoSpaceDE w:val="0"/>
            <w:autoSpaceDN w:val="0"/>
            <w:spacing w:before="316" w:after="0" w:line="240" w:lineRule="auto"/>
            <w:ind w:left="23"/>
            <w:rPr>
              <w:rFonts w:ascii="Arial" w:eastAsia="Arial" w:hAnsi="Arial" w:cs="Arial"/>
              <w:b/>
              <w:bCs/>
              <w:color w:val="156082" w:themeColor="accent1"/>
              <w:kern w:val="0"/>
              <w:sz w:val="22"/>
              <w:szCs w:val="22"/>
              <w:lang w:val="en-US"/>
              <w14:ligatures w14:val="none"/>
            </w:rPr>
          </w:pPr>
          <w:hyperlink w:anchor="_TOC_250038" w:history="1">
            <w:r w:rsidRPr="007F0956">
              <w:rPr>
                <w:rFonts w:ascii="Arial" w:eastAsia="Arial" w:hAnsi="Arial" w:cs="Arial"/>
                <w:b/>
                <w:bCs/>
                <w:color w:val="156082" w:themeColor="accent1"/>
                <w:kern w:val="0"/>
                <w:sz w:val="22"/>
                <w:szCs w:val="22"/>
                <w:lang w:val="en-US"/>
                <w14:ligatures w14:val="none"/>
              </w:rPr>
              <w:t>About</w:t>
            </w:r>
            <w:r w:rsidRPr="007F0956">
              <w:rPr>
                <w:rFonts w:ascii="Arial" w:eastAsia="Arial" w:hAnsi="Arial" w:cs="Arial"/>
                <w:b/>
                <w:bCs/>
                <w:color w:val="156082" w:themeColor="accent1"/>
                <w:spacing w:val="-2"/>
                <w:kern w:val="0"/>
                <w:sz w:val="22"/>
                <w:szCs w:val="22"/>
                <w:lang w:val="en-US"/>
                <w14:ligatures w14:val="none"/>
              </w:rPr>
              <w:t xml:space="preserve"> </w:t>
            </w:r>
            <w:r w:rsidRPr="007F0956">
              <w:rPr>
                <w:rFonts w:ascii="Arial" w:eastAsia="Arial" w:hAnsi="Arial" w:cs="Arial"/>
                <w:b/>
                <w:bCs/>
                <w:color w:val="156082" w:themeColor="accent1"/>
                <w:spacing w:val="-5"/>
                <w:kern w:val="0"/>
                <w:sz w:val="22"/>
                <w:szCs w:val="22"/>
                <w:lang w:val="en-US"/>
                <w14:ligatures w14:val="none"/>
              </w:rPr>
              <w:t>us</w:t>
            </w:r>
            <w:r w:rsidRPr="007F0956">
              <w:rPr>
                <w:rFonts w:ascii="Arial" w:eastAsia="Arial" w:hAnsi="Arial" w:cs="Arial"/>
                <w:b/>
                <w:bCs/>
                <w:color w:val="156082" w:themeColor="accent1"/>
                <w:kern w:val="0"/>
                <w:sz w:val="22"/>
                <w:szCs w:val="22"/>
                <w:lang w:val="en-US"/>
                <w14:ligatures w14:val="none"/>
              </w:rPr>
              <w:tab/>
            </w:r>
            <w:r w:rsidRPr="007F0956">
              <w:rPr>
                <w:rFonts w:ascii="Arial" w:eastAsia="Arial" w:hAnsi="Arial" w:cs="Arial"/>
                <w:b/>
                <w:bCs/>
                <w:color w:val="156082" w:themeColor="accent1"/>
                <w:spacing w:val="-10"/>
                <w:kern w:val="0"/>
                <w:sz w:val="22"/>
                <w:szCs w:val="22"/>
                <w:lang w:val="en-US"/>
                <w14:ligatures w14:val="none"/>
              </w:rPr>
              <w:t>3</w:t>
            </w:r>
          </w:hyperlink>
        </w:p>
        <w:p w14:paraId="30F87538" w14:textId="77777777" w:rsidR="00426C6B" w:rsidRPr="00426C6B" w:rsidRDefault="00426C6B" w:rsidP="00426C6B">
          <w:pPr>
            <w:widowControl w:val="0"/>
            <w:tabs>
              <w:tab w:val="right" w:pos="8787"/>
            </w:tabs>
            <w:autoSpaceDE w:val="0"/>
            <w:autoSpaceDN w:val="0"/>
            <w:spacing w:before="316" w:after="0" w:line="240" w:lineRule="auto"/>
            <w:ind w:left="23"/>
            <w:rPr>
              <w:rFonts w:ascii="Arial" w:eastAsia="Arial" w:hAnsi="Arial" w:cs="Arial"/>
              <w:bCs/>
              <w:iCs/>
              <w:kern w:val="0"/>
              <w:sz w:val="22"/>
              <w:szCs w:val="22"/>
              <w:lang w:val="en-US"/>
              <w14:ligatures w14:val="none"/>
            </w:rPr>
          </w:pPr>
          <w:r w:rsidRPr="00426C6B">
            <w:rPr>
              <w:rFonts w:ascii="Arial" w:eastAsia="Arial" w:hAnsi="Arial" w:cs="Arial"/>
              <w:b/>
              <w:bCs/>
              <w:iCs/>
              <w:color w:val="404968"/>
              <w:kern w:val="0"/>
              <w:sz w:val="22"/>
              <w:szCs w:val="22"/>
              <w:lang w:val="en-US"/>
              <w14:ligatures w14:val="none"/>
            </w:rPr>
            <w:t>Executive</w:t>
          </w:r>
          <w:r w:rsidRPr="00426C6B">
            <w:rPr>
              <w:rFonts w:ascii="Arial" w:eastAsia="Arial" w:hAnsi="Arial" w:cs="Arial"/>
              <w:b/>
              <w:bCs/>
              <w:iCs/>
              <w:color w:val="404968"/>
              <w:spacing w:val="-10"/>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Summary</w:t>
          </w:r>
          <w:r w:rsidRPr="00426C6B">
            <w:rPr>
              <w:rFonts w:ascii="Arial" w:eastAsia="Arial" w:hAnsi="Arial" w:cs="Arial"/>
              <w:b/>
              <w:bCs/>
              <w:iCs/>
              <w:color w:val="404968"/>
              <w:spacing w:val="-7"/>
              <w:kern w:val="0"/>
              <w:sz w:val="22"/>
              <w:szCs w:val="22"/>
              <w:lang w:val="en-US"/>
              <w14:ligatures w14:val="none"/>
            </w:rPr>
            <w:t xml:space="preserve"> </w:t>
          </w:r>
          <w:r w:rsidRPr="00426C6B">
            <w:rPr>
              <w:rFonts w:ascii="Arial" w:eastAsia="Arial" w:hAnsi="Arial" w:cs="Arial"/>
              <w:bCs/>
              <w:iCs/>
              <w:spacing w:val="-2"/>
              <w:kern w:val="0"/>
              <w:sz w:val="22"/>
              <w:szCs w:val="22"/>
              <w:lang w:val="en-US"/>
              <w14:ligatures w14:val="none"/>
            </w:rPr>
            <w:t>................................................................</w:t>
          </w:r>
          <w:r w:rsidRPr="00426C6B">
            <w:rPr>
              <w:rFonts w:ascii="Arial" w:eastAsia="Arial" w:hAnsi="Arial" w:cs="Arial"/>
              <w:bCs/>
              <w:iCs/>
              <w:kern w:val="0"/>
              <w:sz w:val="22"/>
              <w:szCs w:val="22"/>
              <w:lang w:val="en-US"/>
              <w14:ligatures w14:val="none"/>
            </w:rPr>
            <w:tab/>
          </w:r>
          <w:r w:rsidRPr="00426C6B">
            <w:rPr>
              <w:rFonts w:ascii="Arial" w:eastAsia="Arial" w:hAnsi="Arial" w:cs="Arial"/>
              <w:bCs/>
              <w:iCs/>
              <w:spacing w:val="-10"/>
              <w:kern w:val="0"/>
              <w:sz w:val="22"/>
              <w:szCs w:val="22"/>
              <w:lang w:val="en-US"/>
              <w14:ligatures w14:val="none"/>
            </w:rPr>
            <w:t>3</w:t>
          </w:r>
        </w:p>
        <w:p w14:paraId="46B5B405" w14:textId="77777777" w:rsidR="00426C6B" w:rsidRPr="00426C6B" w:rsidRDefault="00426C6B" w:rsidP="20CCCE1A">
          <w:pPr>
            <w:widowControl w:val="0"/>
            <w:numPr>
              <w:ilvl w:val="0"/>
              <w:numId w:val="19"/>
            </w:numPr>
            <w:tabs>
              <w:tab w:val="left" w:pos="452"/>
              <w:tab w:val="right" w:pos="8787"/>
            </w:tabs>
            <w:autoSpaceDE w:val="0"/>
            <w:autoSpaceDN w:val="0"/>
            <w:spacing w:before="40" w:after="0" w:line="240" w:lineRule="auto"/>
            <w:ind w:left="452" w:hanging="244"/>
            <w:rPr>
              <w:rFonts w:ascii="Arial" w:eastAsia="Arial" w:hAnsi="Arial" w:cs="Arial"/>
              <w:kern w:val="0"/>
              <w:sz w:val="22"/>
              <w:szCs w:val="22"/>
              <w14:ligatures w14:val="none"/>
            </w:rPr>
          </w:pPr>
          <w:r w:rsidRPr="20CCCE1A">
            <w:rPr>
              <w:rFonts w:ascii="Arial" w:eastAsia="Arial" w:hAnsi="Arial" w:cs="Arial"/>
              <w:spacing w:val="-2"/>
              <w:kern w:val="0"/>
              <w:sz w:val="22"/>
              <w:szCs w:val="22"/>
              <w14:ligatures w14:val="none"/>
            </w:rPr>
            <w:t>ILPA's</w:t>
          </w:r>
          <w:r w:rsidRPr="20CCCE1A">
            <w:rPr>
              <w:rFonts w:ascii="Arial" w:eastAsia="Arial" w:hAnsi="Arial" w:cs="Arial"/>
              <w:spacing w:val="26"/>
              <w:kern w:val="0"/>
              <w:sz w:val="22"/>
              <w:szCs w:val="22"/>
              <w14:ligatures w14:val="none"/>
            </w:rPr>
            <w:t xml:space="preserve"> </w:t>
          </w:r>
          <w:r w:rsidRPr="20CCCE1A">
            <w:rPr>
              <w:rFonts w:ascii="Arial" w:eastAsia="Arial" w:hAnsi="Arial" w:cs="Arial"/>
              <w:spacing w:val="-2"/>
              <w:kern w:val="0"/>
              <w:sz w:val="22"/>
              <w:szCs w:val="22"/>
              <w14:ligatures w14:val="none"/>
            </w:rPr>
            <w:t>position</w:t>
          </w:r>
          <w:r w:rsidRPr="20CCCE1A">
            <w:rPr>
              <w:rFonts w:ascii="Arial" w:eastAsia="Arial" w:hAnsi="Arial" w:cs="Arial"/>
              <w:spacing w:val="22"/>
              <w:kern w:val="0"/>
              <w:sz w:val="22"/>
              <w:szCs w:val="22"/>
              <w14:ligatures w14:val="none"/>
            </w:rPr>
            <w:t xml:space="preserve"> </w:t>
          </w:r>
          <w:r w:rsidRPr="20CCCE1A">
            <w:rPr>
              <w:rFonts w:ascii="Arial" w:eastAsia="Arial" w:hAnsi="Arial" w:cs="Arial"/>
              <w:spacing w:val="-2"/>
              <w:kern w:val="0"/>
              <w:sz w:val="22"/>
              <w:szCs w:val="22"/>
              <w14:ligatures w14:val="none"/>
            </w:rPr>
            <w:t>...............................................................</w:t>
          </w:r>
          <w:r w:rsidRPr="20CCCE1A">
            <w:rPr>
              <w:rFonts w:ascii="Arial" w:eastAsia="Arial" w:hAnsi="Arial" w:cs="Arial"/>
              <w:spacing w:val="29"/>
              <w:kern w:val="0"/>
              <w:sz w:val="22"/>
              <w:szCs w:val="22"/>
              <w14:ligatures w14:val="none"/>
            </w:rPr>
            <w:t xml:space="preserve"> </w:t>
          </w:r>
          <w:r w:rsidRPr="20CCCE1A">
            <w:rPr>
              <w:rFonts w:ascii="Arial" w:eastAsia="Arial" w:hAnsi="Arial" w:cs="Arial"/>
              <w:spacing w:val="-4"/>
              <w:kern w:val="0"/>
              <w:sz w:val="22"/>
              <w:szCs w:val="22"/>
              <w14:ligatures w14:val="none"/>
            </w:rPr>
            <w:t>....</w:t>
          </w:r>
          <w:r w:rsidRPr="00426C6B">
            <w:rPr>
              <w:rFonts w:ascii="Arial" w:eastAsia="Arial" w:hAnsi="Arial" w:cs="Arial"/>
              <w:kern w:val="0"/>
              <w:sz w:val="22"/>
              <w:szCs w:val="22"/>
              <w:lang w:val="en-US"/>
              <w14:ligatures w14:val="none"/>
            </w:rPr>
            <w:tab/>
          </w:r>
          <w:r w:rsidRPr="20CCCE1A">
            <w:rPr>
              <w:rFonts w:ascii="Arial" w:eastAsia="Arial" w:hAnsi="Arial" w:cs="Arial"/>
              <w:spacing w:val="-10"/>
              <w:kern w:val="0"/>
              <w:sz w:val="22"/>
              <w:szCs w:val="22"/>
              <w14:ligatures w14:val="none"/>
            </w:rPr>
            <w:t>3</w:t>
          </w:r>
        </w:p>
        <w:p w14:paraId="43C7F304" w14:textId="77777777" w:rsidR="00426C6B" w:rsidRPr="00426C6B" w:rsidRDefault="00426C6B" w:rsidP="00426C6B">
          <w:pPr>
            <w:widowControl w:val="0"/>
            <w:tabs>
              <w:tab w:val="right" w:pos="8787"/>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37" w:history="1">
            <w:r w:rsidRPr="00426C6B">
              <w:rPr>
                <w:rFonts w:ascii="Arial" w:eastAsia="Arial" w:hAnsi="Arial" w:cs="Arial"/>
                <w:kern w:val="0"/>
                <w:sz w:val="22"/>
                <w:szCs w:val="22"/>
                <w:lang w:val="en-US"/>
                <w14:ligatures w14:val="none"/>
              </w:rPr>
              <w:t>Part</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1:</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Independent</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Immigration</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Appeals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Authority</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4</w:t>
            </w:r>
          </w:hyperlink>
        </w:p>
        <w:p w14:paraId="68C2BA11" w14:textId="77777777" w:rsidR="00426C6B" w:rsidRPr="00426C6B" w:rsidRDefault="00426C6B" w:rsidP="00426C6B">
          <w:pPr>
            <w:widowControl w:val="0"/>
            <w:tabs>
              <w:tab w:val="right" w:pos="8787"/>
            </w:tabs>
            <w:autoSpaceDE w:val="0"/>
            <w:autoSpaceDN w:val="0"/>
            <w:spacing w:before="37"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Part</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2:</w:t>
          </w:r>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kern w:val="0"/>
              <w:sz w:val="22"/>
              <w:szCs w:val="22"/>
              <w:lang w:val="en-US"/>
              <w14:ligatures w14:val="none"/>
            </w:rPr>
            <w:t>Article</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8</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ECHR</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4</w:t>
          </w:r>
        </w:p>
        <w:p w14:paraId="1169014F" w14:textId="77777777" w:rsidR="00426C6B" w:rsidRPr="00426C6B" w:rsidRDefault="00426C6B" w:rsidP="00426C6B">
          <w:pPr>
            <w:widowControl w:val="0"/>
            <w:tabs>
              <w:tab w:val="right" w:pos="8787"/>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36" w:history="1">
            <w:r w:rsidRPr="00426C6B">
              <w:rPr>
                <w:rFonts w:ascii="Arial" w:eastAsia="Arial" w:hAnsi="Arial" w:cs="Arial"/>
                <w:kern w:val="0"/>
                <w:sz w:val="22"/>
                <w:szCs w:val="22"/>
                <w:lang w:val="en-US"/>
                <w14:ligatures w14:val="none"/>
              </w:rPr>
              <w:t>Part</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3:</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Protection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status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and</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asylum</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4</w:t>
            </w:r>
          </w:hyperlink>
        </w:p>
        <w:p w14:paraId="0463F318" w14:textId="77777777" w:rsidR="00426C6B" w:rsidRPr="00426C6B" w:rsidRDefault="00426C6B" w:rsidP="00426C6B">
          <w:pPr>
            <w:widowControl w:val="0"/>
            <w:tabs>
              <w:tab w:val="right" w:pos="8787"/>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35" w:history="1">
            <w:r w:rsidRPr="00426C6B">
              <w:rPr>
                <w:rFonts w:ascii="Arial" w:eastAsia="Arial" w:hAnsi="Arial" w:cs="Arial"/>
                <w:kern w:val="0"/>
                <w:sz w:val="22"/>
                <w:szCs w:val="22"/>
                <w:lang w:val="en-US"/>
                <w14:ligatures w14:val="none"/>
              </w:rPr>
              <w:t>Part</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4:</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Asylum</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Support</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5</w:t>
            </w:r>
          </w:hyperlink>
        </w:p>
        <w:p w14:paraId="09718676" w14:textId="77777777" w:rsidR="00426C6B" w:rsidRPr="00426C6B" w:rsidRDefault="00426C6B" w:rsidP="00426C6B">
          <w:pPr>
            <w:widowControl w:val="0"/>
            <w:tabs>
              <w:tab w:val="right" w:pos="8787"/>
            </w:tabs>
            <w:autoSpaceDE w:val="0"/>
            <w:autoSpaceDN w:val="0"/>
            <w:spacing w:before="40" w:after="0" w:line="240" w:lineRule="auto"/>
            <w:ind w:left="208"/>
            <w:rPr>
              <w:rFonts w:ascii="Arial" w:eastAsia="Arial" w:hAnsi="Arial" w:cs="Arial"/>
              <w:kern w:val="0"/>
              <w:sz w:val="22"/>
              <w:szCs w:val="22"/>
              <w:lang w:val="en-US"/>
              <w14:ligatures w14:val="none"/>
            </w:rPr>
          </w:pPr>
          <w:hyperlink w:anchor="_TOC_250034" w:history="1">
            <w:r w:rsidRPr="00426C6B">
              <w:rPr>
                <w:rFonts w:ascii="Arial" w:eastAsia="Arial" w:hAnsi="Arial" w:cs="Arial"/>
                <w:kern w:val="0"/>
                <w:sz w:val="22"/>
                <w:szCs w:val="22"/>
                <w:lang w:val="en-US"/>
                <w14:ligatures w14:val="none"/>
              </w:rPr>
              <w:t>Part</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5:</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Modern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slavery</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5</w:t>
            </w:r>
          </w:hyperlink>
        </w:p>
        <w:p w14:paraId="63400CD2" w14:textId="77777777" w:rsidR="00426C6B" w:rsidRPr="00426C6B" w:rsidRDefault="00426C6B" w:rsidP="00426C6B">
          <w:pPr>
            <w:widowControl w:val="0"/>
            <w:tabs>
              <w:tab w:val="right" w:pos="8787"/>
            </w:tabs>
            <w:autoSpaceDE w:val="0"/>
            <w:autoSpaceDN w:val="0"/>
            <w:spacing w:before="40"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Earned</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Settlement,</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and</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how</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it</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compounds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with</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this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Bill</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5</w:t>
          </w:r>
        </w:p>
        <w:p w14:paraId="2B38B7B8" w14:textId="77777777" w:rsidR="00426C6B" w:rsidRPr="00426C6B" w:rsidRDefault="00426C6B" w:rsidP="00426C6B">
          <w:pPr>
            <w:widowControl w:val="0"/>
            <w:tabs>
              <w:tab w:val="right" w:pos="8787"/>
            </w:tabs>
            <w:autoSpaceDE w:val="0"/>
            <w:autoSpaceDN w:val="0"/>
            <w:spacing w:before="315" w:after="0" w:line="240" w:lineRule="auto"/>
            <w:ind w:left="23"/>
            <w:rPr>
              <w:rFonts w:ascii="Arial" w:eastAsia="Arial" w:hAnsi="Arial" w:cs="Arial"/>
              <w:bCs/>
              <w:kern w:val="0"/>
              <w:sz w:val="22"/>
              <w:szCs w:val="22"/>
              <w:lang w:val="en-US"/>
              <w14:ligatures w14:val="none"/>
            </w:rPr>
          </w:pPr>
          <w:r w:rsidRPr="00426C6B">
            <w:rPr>
              <w:rFonts w:ascii="Arial" w:eastAsia="Arial" w:hAnsi="Arial" w:cs="Arial"/>
              <w:b/>
              <w:bCs/>
              <w:color w:val="404968"/>
              <w:kern w:val="0"/>
              <w:sz w:val="22"/>
              <w:szCs w:val="22"/>
              <w:lang w:val="en-US"/>
              <w14:ligatures w14:val="none"/>
            </w:rPr>
            <w:t>Part</w:t>
          </w:r>
          <w:r w:rsidRPr="00426C6B">
            <w:rPr>
              <w:rFonts w:ascii="Arial" w:eastAsia="Arial" w:hAnsi="Arial" w:cs="Arial"/>
              <w:b/>
              <w:bCs/>
              <w:color w:val="404968"/>
              <w:spacing w:val="-4"/>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1</w:t>
          </w:r>
          <w:r w:rsidRPr="00426C6B">
            <w:rPr>
              <w:rFonts w:ascii="Arial" w:eastAsia="Arial" w:hAnsi="Arial" w:cs="Arial"/>
              <w:b/>
              <w:bCs/>
              <w:color w:val="404968"/>
              <w:spacing w:val="-7"/>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The</w:t>
          </w:r>
          <w:r w:rsidRPr="00426C6B">
            <w:rPr>
              <w:rFonts w:ascii="Arial" w:eastAsia="Arial" w:hAnsi="Arial" w:cs="Arial"/>
              <w:b/>
              <w:bCs/>
              <w:color w:val="404968"/>
              <w:spacing w:val="-6"/>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Independent</w:t>
          </w:r>
          <w:r w:rsidRPr="00426C6B">
            <w:rPr>
              <w:rFonts w:ascii="Arial" w:eastAsia="Arial" w:hAnsi="Arial" w:cs="Arial"/>
              <w:b/>
              <w:bCs/>
              <w:color w:val="404968"/>
              <w:spacing w:val="-4"/>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Immigration</w:t>
          </w:r>
          <w:r w:rsidRPr="00426C6B">
            <w:rPr>
              <w:rFonts w:ascii="Arial" w:eastAsia="Arial" w:hAnsi="Arial" w:cs="Arial"/>
              <w:b/>
              <w:bCs/>
              <w:color w:val="404968"/>
              <w:spacing w:val="-7"/>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Appeals</w:t>
          </w:r>
          <w:r w:rsidRPr="00426C6B">
            <w:rPr>
              <w:rFonts w:ascii="Arial" w:eastAsia="Arial" w:hAnsi="Arial" w:cs="Arial"/>
              <w:b/>
              <w:bCs/>
              <w:color w:val="404968"/>
              <w:spacing w:val="-5"/>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Authority</w:t>
          </w:r>
          <w:r w:rsidRPr="00426C6B">
            <w:rPr>
              <w:rFonts w:ascii="Arial" w:eastAsia="Arial" w:hAnsi="Arial" w:cs="Arial"/>
              <w:b/>
              <w:bCs/>
              <w:color w:val="404968"/>
              <w:spacing w:val="-2"/>
              <w:kern w:val="0"/>
              <w:sz w:val="22"/>
              <w:szCs w:val="22"/>
              <w:lang w:val="en-US"/>
              <w14:ligatures w14:val="none"/>
            </w:rPr>
            <w:t xml:space="preserve"> </w:t>
          </w:r>
          <w:r w:rsidRPr="00426C6B">
            <w:rPr>
              <w:rFonts w:ascii="Arial" w:eastAsia="Arial" w:hAnsi="Arial" w:cs="Arial"/>
              <w:bCs/>
              <w:spacing w:val="-2"/>
              <w:kern w:val="0"/>
              <w:sz w:val="22"/>
              <w:szCs w:val="22"/>
              <w:lang w:val="en-US"/>
              <w14:ligatures w14:val="none"/>
            </w:rPr>
            <w:t>...........</w:t>
          </w:r>
          <w:r w:rsidRPr="00426C6B">
            <w:rPr>
              <w:rFonts w:ascii="Arial" w:eastAsia="Arial" w:hAnsi="Arial" w:cs="Arial"/>
              <w:bCs/>
              <w:kern w:val="0"/>
              <w:sz w:val="22"/>
              <w:szCs w:val="22"/>
              <w:lang w:val="en-US"/>
              <w14:ligatures w14:val="none"/>
            </w:rPr>
            <w:tab/>
          </w:r>
          <w:r w:rsidRPr="00426C6B">
            <w:rPr>
              <w:rFonts w:ascii="Arial" w:eastAsia="Arial" w:hAnsi="Arial" w:cs="Arial"/>
              <w:bCs/>
              <w:spacing w:val="-10"/>
              <w:kern w:val="0"/>
              <w:sz w:val="22"/>
              <w:szCs w:val="22"/>
              <w:lang w:val="en-US"/>
              <w14:ligatures w14:val="none"/>
            </w:rPr>
            <w:t>6</w:t>
          </w:r>
        </w:p>
        <w:p w14:paraId="39ECE91B" w14:textId="77777777" w:rsidR="00426C6B" w:rsidRPr="00426C6B" w:rsidRDefault="00426C6B" w:rsidP="00426C6B">
          <w:pPr>
            <w:widowControl w:val="0"/>
            <w:tabs>
              <w:tab w:val="right" w:pos="8787"/>
            </w:tabs>
            <w:autoSpaceDE w:val="0"/>
            <w:autoSpaceDN w:val="0"/>
            <w:spacing w:before="38"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What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Part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1</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does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6</w:t>
          </w:r>
        </w:p>
        <w:p w14:paraId="50B793CA" w14:textId="77777777" w:rsidR="00426C6B" w:rsidRPr="00426C6B" w:rsidRDefault="00426C6B" w:rsidP="00426C6B">
          <w:pPr>
            <w:widowControl w:val="0"/>
            <w:tabs>
              <w:tab w:val="right" w:pos="8787"/>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33" w:history="1">
            <w:r w:rsidRPr="00426C6B">
              <w:rPr>
                <w:rFonts w:ascii="Arial" w:eastAsia="Arial" w:hAnsi="Arial" w:cs="Arial"/>
                <w:kern w:val="0"/>
                <w:sz w:val="22"/>
                <w:szCs w:val="22"/>
                <w:lang w:val="en-US"/>
                <w14:ligatures w14:val="none"/>
              </w:rPr>
              <w:t>Why</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Part</w:t>
            </w:r>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kern w:val="0"/>
                <w:sz w:val="22"/>
                <w:szCs w:val="22"/>
                <w:lang w:val="en-US"/>
                <w14:ligatures w14:val="none"/>
              </w:rPr>
              <w:t>1</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Bill</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will</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not</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achieve</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stated</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policy</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aims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6</w:t>
            </w:r>
          </w:hyperlink>
        </w:p>
        <w:p w14:paraId="2DAD8433" w14:textId="77777777" w:rsidR="00426C6B" w:rsidRPr="00426C6B" w:rsidRDefault="00426C6B" w:rsidP="00426C6B">
          <w:pPr>
            <w:widowControl w:val="0"/>
            <w:tabs>
              <w:tab w:val="right" w:pos="8787"/>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32" w:history="1">
            <w:r w:rsidRPr="00426C6B">
              <w:rPr>
                <w:rFonts w:ascii="Arial" w:eastAsia="Arial" w:hAnsi="Arial" w:cs="Arial"/>
                <w:kern w:val="0"/>
                <w:sz w:val="22"/>
                <w:szCs w:val="22"/>
                <w:lang w:val="en-US"/>
                <w14:ligatures w14:val="none"/>
              </w:rPr>
              <w:t>ILPA's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position</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7</w:t>
            </w:r>
          </w:hyperlink>
        </w:p>
        <w:p w14:paraId="74B56DDE" w14:textId="77777777" w:rsidR="00426C6B" w:rsidRPr="00426C6B" w:rsidRDefault="00426C6B" w:rsidP="00426C6B">
          <w:pPr>
            <w:widowControl w:val="0"/>
            <w:tabs>
              <w:tab w:val="right" w:pos="8787"/>
            </w:tabs>
            <w:autoSpaceDE w:val="0"/>
            <w:autoSpaceDN w:val="0"/>
            <w:spacing w:before="39" w:after="0" w:line="240" w:lineRule="auto"/>
            <w:ind w:left="208"/>
            <w:rPr>
              <w:rFonts w:ascii="Arial" w:eastAsia="Arial" w:hAnsi="Arial" w:cs="Arial"/>
              <w:kern w:val="0"/>
              <w:sz w:val="22"/>
              <w:szCs w:val="22"/>
              <w:lang w:val="en-US"/>
              <w14:ligatures w14:val="none"/>
            </w:rPr>
          </w:pPr>
          <w:hyperlink w:anchor="_TOC_250031"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1:</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Independent</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Immigration</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Appeals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Authority</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spacing w:val="-4"/>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7</w:t>
            </w:r>
          </w:hyperlink>
        </w:p>
        <w:p w14:paraId="6F44D994" w14:textId="77777777" w:rsidR="00426C6B" w:rsidRPr="00426C6B" w:rsidRDefault="00426C6B" w:rsidP="00426C6B">
          <w:pPr>
            <w:widowControl w:val="0"/>
            <w:tabs>
              <w:tab w:val="right" w:pos="8787"/>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30"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2:</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Membership</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IIAA</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10"/>
                <w:kern w:val="0"/>
                <w:sz w:val="22"/>
                <w:szCs w:val="22"/>
                <w:lang w:val="en-US"/>
                <w14:ligatures w14:val="none"/>
              </w:rPr>
              <w:t>9</w:t>
            </w:r>
          </w:hyperlink>
        </w:p>
        <w:p w14:paraId="3F5BED64" w14:textId="77777777" w:rsidR="00426C6B" w:rsidRPr="00426C6B" w:rsidRDefault="00426C6B" w:rsidP="00426C6B">
          <w:pPr>
            <w:widowControl w:val="0"/>
            <w:tabs>
              <w:tab w:val="right" w:pos="8909"/>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29"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3:</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Powers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and</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duties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IIAA</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members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10</w:t>
            </w:r>
          </w:hyperlink>
        </w:p>
        <w:p w14:paraId="44AEDB16"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28"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4:</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IIAA</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Procedure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Rules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10</w:t>
            </w:r>
          </w:hyperlink>
        </w:p>
        <w:p w14:paraId="0317B8F5" w14:textId="77777777" w:rsidR="00426C6B" w:rsidRPr="00426C6B" w:rsidRDefault="00426C6B" w:rsidP="00426C6B">
          <w:pPr>
            <w:widowControl w:val="0"/>
            <w:tabs>
              <w:tab w:val="right" w:pos="8910"/>
            </w:tabs>
            <w:autoSpaceDE w:val="0"/>
            <w:autoSpaceDN w:val="0"/>
            <w:spacing w:before="40" w:after="0" w:line="240" w:lineRule="auto"/>
            <w:ind w:left="208"/>
            <w:rPr>
              <w:rFonts w:ascii="Arial" w:eastAsia="Arial" w:hAnsi="Arial" w:cs="Arial"/>
              <w:kern w:val="0"/>
              <w:sz w:val="22"/>
              <w:szCs w:val="22"/>
              <w:lang w:val="en-US"/>
              <w14:ligatures w14:val="none"/>
            </w:rPr>
          </w:pPr>
          <w:hyperlink w:anchor="_TOC_250027"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5:</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IIAA</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Procedure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Rules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Board</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10</w:t>
            </w:r>
          </w:hyperlink>
        </w:p>
        <w:p w14:paraId="401F39F0"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26"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6:</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Power</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IIAA</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review</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its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own</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decisions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11</w:t>
            </w:r>
          </w:hyperlink>
        </w:p>
        <w:p w14:paraId="08FE891B" w14:textId="77777777" w:rsidR="00426C6B" w:rsidRPr="00426C6B" w:rsidRDefault="00426C6B" w:rsidP="00426C6B">
          <w:pPr>
            <w:widowControl w:val="0"/>
            <w:tabs>
              <w:tab w:val="right" w:pos="8910"/>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25"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7:</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Right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appeal</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Upper</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Tribunal</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12</w:t>
            </w:r>
          </w:hyperlink>
        </w:p>
        <w:p w14:paraId="27DE7DEB"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24"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8:</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Regulations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about</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time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periods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12</w:t>
            </w:r>
          </w:hyperlink>
        </w:p>
        <w:p w14:paraId="1D916130" w14:textId="77777777" w:rsidR="00426C6B" w:rsidRPr="00426C6B" w:rsidRDefault="00426C6B" w:rsidP="00426C6B">
          <w:pPr>
            <w:widowControl w:val="0"/>
            <w:tabs>
              <w:tab w:val="right" w:pos="8910"/>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23"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9:</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Expedition</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cases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on</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request</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by</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Secretary</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State</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13</w:t>
            </w:r>
          </w:hyperlink>
        </w:p>
        <w:p w14:paraId="6D4A267B" w14:textId="77777777" w:rsidR="00426C6B" w:rsidRPr="00426C6B" w:rsidRDefault="00426C6B" w:rsidP="00426C6B">
          <w:pPr>
            <w:widowControl w:val="0"/>
            <w:tabs>
              <w:tab w:val="right" w:pos="8910"/>
            </w:tabs>
            <w:autoSpaceDE w:val="0"/>
            <w:autoSpaceDN w:val="0"/>
            <w:spacing w:before="39" w:after="0" w:line="240" w:lineRule="auto"/>
            <w:ind w:left="208"/>
            <w:rPr>
              <w:rFonts w:ascii="Arial" w:eastAsia="Arial" w:hAnsi="Arial" w:cs="Arial"/>
              <w:kern w:val="0"/>
              <w:sz w:val="22"/>
              <w:szCs w:val="22"/>
              <w:lang w:val="en-US"/>
              <w14:ligatures w14:val="none"/>
            </w:rPr>
          </w:pPr>
          <w:hyperlink w:anchor="_TOC_250022"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10:</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Charging</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power</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in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respect</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wasted</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resources</w:t>
            </w:r>
            <w:r w:rsidRPr="00426C6B">
              <w:rPr>
                <w:rFonts w:ascii="Arial" w:eastAsia="Arial" w:hAnsi="Arial" w:cs="Arial"/>
                <w:spacing w:val="-6"/>
                <w:kern w:val="0"/>
                <w:sz w:val="22"/>
                <w:szCs w:val="22"/>
                <w:lang w:val="en-US"/>
                <w14:ligatures w14:val="none"/>
              </w:rPr>
              <w:t xml:space="preserve"> </w:t>
            </w:r>
            <w:proofErr w:type="gramStart"/>
            <w:r w:rsidRPr="00426C6B">
              <w:rPr>
                <w:rFonts w:ascii="Arial" w:eastAsia="Arial" w:hAnsi="Arial" w:cs="Arial"/>
                <w:spacing w:val="-2"/>
                <w:kern w:val="0"/>
                <w:sz w:val="22"/>
                <w:szCs w:val="22"/>
                <w:lang w:val="en-US"/>
                <w14:ligatures w14:val="none"/>
              </w:rPr>
              <w:t>.....</w:t>
            </w:r>
            <w:proofErr w:type="gramEnd"/>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13</w:t>
            </w:r>
          </w:hyperlink>
        </w:p>
        <w:p w14:paraId="50B337CA" w14:textId="77777777" w:rsidR="00426C6B" w:rsidRPr="00426C6B" w:rsidRDefault="00426C6B" w:rsidP="00426C6B">
          <w:pPr>
            <w:widowControl w:val="0"/>
            <w:tabs>
              <w:tab w:val="right" w:pos="8909"/>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21"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11:</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Claim</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notices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13</w:t>
            </w:r>
          </w:hyperlink>
        </w:p>
        <w:p w14:paraId="06702B02"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20"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12:</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Late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claims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process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14</w:t>
            </w:r>
          </w:hyperlink>
        </w:p>
        <w:p w14:paraId="182EB16A" w14:textId="77777777" w:rsidR="00426C6B" w:rsidRPr="00426C6B" w:rsidRDefault="00426C6B" w:rsidP="00426C6B">
          <w:pPr>
            <w:widowControl w:val="0"/>
            <w:tabs>
              <w:tab w:val="right" w:pos="8910"/>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19"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13:</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Inspections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15</w:t>
            </w:r>
          </w:hyperlink>
        </w:p>
        <w:p w14:paraId="5258E023" w14:textId="77777777" w:rsidR="00426C6B" w:rsidRPr="00426C6B" w:rsidRDefault="00426C6B" w:rsidP="00426C6B">
          <w:pPr>
            <w:widowControl w:val="0"/>
            <w:tabs>
              <w:tab w:val="right" w:pos="8910"/>
            </w:tabs>
            <w:autoSpaceDE w:val="0"/>
            <w:autoSpaceDN w:val="0"/>
            <w:spacing w:before="40"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Clause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15:</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Power</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specify</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cases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be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heard</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by</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FTT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instead</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4"/>
              <w:kern w:val="0"/>
              <w:sz w:val="22"/>
              <w:szCs w:val="22"/>
              <w:lang w:val="en-US"/>
              <w14:ligatures w14:val="none"/>
            </w:rPr>
            <w:t xml:space="preserve"> IIAA</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15</w:t>
          </w:r>
        </w:p>
        <w:p w14:paraId="369B7422"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18"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16:</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Power</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make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consequential</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provision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16</w:t>
            </w:r>
          </w:hyperlink>
        </w:p>
        <w:p w14:paraId="04C318E4" w14:textId="77777777" w:rsidR="00426C6B" w:rsidRPr="00426C6B" w:rsidRDefault="00426C6B" w:rsidP="00426C6B">
          <w:pPr>
            <w:widowControl w:val="0"/>
            <w:tabs>
              <w:tab w:val="right" w:pos="8910"/>
            </w:tabs>
            <w:autoSpaceDE w:val="0"/>
            <w:autoSpaceDN w:val="0"/>
            <w:spacing w:before="40" w:after="0" w:line="240" w:lineRule="auto"/>
            <w:ind w:left="208"/>
            <w:rPr>
              <w:rFonts w:ascii="Arial" w:eastAsia="Arial" w:hAnsi="Arial" w:cs="Arial"/>
              <w:kern w:val="0"/>
              <w:sz w:val="22"/>
              <w:szCs w:val="22"/>
              <w:lang w:val="en-US"/>
              <w14:ligatures w14:val="none"/>
            </w:rPr>
          </w:pPr>
          <w:hyperlink w:anchor="_TOC_250017" w:history="1">
            <w:r w:rsidRPr="00426C6B">
              <w:rPr>
                <w:rFonts w:ascii="Arial" w:eastAsia="Arial" w:hAnsi="Arial" w:cs="Arial"/>
                <w:kern w:val="0"/>
                <w:sz w:val="22"/>
                <w:szCs w:val="22"/>
                <w:lang w:val="en-US"/>
                <w14:ligatures w14:val="none"/>
              </w:rPr>
              <w:t>Schedules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1-3</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16</w:t>
            </w:r>
          </w:hyperlink>
        </w:p>
        <w:p w14:paraId="4B9EA2D1" w14:textId="77777777" w:rsidR="00426C6B" w:rsidRPr="00426C6B" w:rsidRDefault="00426C6B" w:rsidP="00426C6B">
          <w:pPr>
            <w:widowControl w:val="0"/>
            <w:tabs>
              <w:tab w:val="right" w:pos="8909"/>
            </w:tabs>
            <w:autoSpaceDE w:val="0"/>
            <w:autoSpaceDN w:val="0"/>
            <w:spacing w:before="316" w:after="0" w:line="240" w:lineRule="auto"/>
            <w:ind w:left="23"/>
            <w:rPr>
              <w:rFonts w:ascii="Arial" w:eastAsia="Arial" w:hAnsi="Arial" w:cs="Arial"/>
              <w:bCs/>
              <w:kern w:val="0"/>
              <w:sz w:val="22"/>
              <w:szCs w:val="22"/>
              <w:lang w:val="en-US"/>
              <w14:ligatures w14:val="none"/>
            </w:rPr>
          </w:pPr>
          <w:hyperlink w:anchor="_TOC_250016" w:history="1">
            <w:r w:rsidRPr="00426C6B">
              <w:rPr>
                <w:rFonts w:ascii="Arial" w:eastAsia="Arial" w:hAnsi="Arial" w:cs="Arial"/>
                <w:b/>
                <w:bCs/>
                <w:color w:val="404968"/>
                <w:kern w:val="0"/>
                <w:sz w:val="22"/>
                <w:szCs w:val="22"/>
                <w:lang w:val="en-US"/>
                <w14:ligatures w14:val="none"/>
              </w:rPr>
              <w:t>Part</w:t>
            </w:r>
            <w:r w:rsidRPr="00426C6B">
              <w:rPr>
                <w:rFonts w:ascii="Arial" w:eastAsia="Arial" w:hAnsi="Arial" w:cs="Arial"/>
                <w:b/>
                <w:bCs/>
                <w:color w:val="404968"/>
                <w:spacing w:val="-1"/>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2</w:t>
            </w:r>
            <w:r w:rsidRPr="00426C6B">
              <w:rPr>
                <w:rFonts w:ascii="Arial" w:eastAsia="Arial" w:hAnsi="Arial" w:cs="Arial"/>
                <w:b/>
                <w:bCs/>
                <w:color w:val="404968"/>
                <w:spacing w:val="-6"/>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Article</w:t>
            </w:r>
            <w:r w:rsidRPr="00426C6B">
              <w:rPr>
                <w:rFonts w:ascii="Arial" w:eastAsia="Arial" w:hAnsi="Arial" w:cs="Arial"/>
                <w:b/>
                <w:bCs/>
                <w:color w:val="404968"/>
                <w:spacing w:val="-5"/>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8</w:t>
            </w:r>
            <w:r w:rsidRPr="00426C6B">
              <w:rPr>
                <w:rFonts w:ascii="Arial" w:eastAsia="Arial" w:hAnsi="Arial" w:cs="Arial"/>
                <w:b/>
                <w:bCs/>
                <w:color w:val="404968"/>
                <w:spacing w:val="-4"/>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of</w:t>
            </w:r>
            <w:r w:rsidRPr="00426C6B">
              <w:rPr>
                <w:rFonts w:ascii="Arial" w:eastAsia="Arial" w:hAnsi="Arial" w:cs="Arial"/>
                <w:b/>
                <w:bCs/>
                <w:color w:val="404968"/>
                <w:spacing w:val="-4"/>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the</w:t>
            </w:r>
            <w:r w:rsidRPr="00426C6B">
              <w:rPr>
                <w:rFonts w:ascii="Arial" w:eastAsia="Arial" w:hAnsi="Arial" w:cs="Arial"/>
                <w:b/>
                <w:bCs/>
                <w:color w:val="404968"/>
                <w:spacing w:val="-5"/>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European</w:t>
            </w:r>
            <w:r w:rsidRPr="00426C6B">
              <w:rPr>
                <w:rFonts w:ascii="Arial" w:eastAsia="Arial" w:hAnsi="Arial" w:cs="Arial"/>
                <w:b/>
                <w:bCs/>
                <w:color w:val="404968"/>
                <w:spacing w:val="-2"/>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Convention</w:t>
            </w:r>
            <w:r w:rsidRPr="00426C6B">
              <w:rPr>
                <w:rFonts w:ascii="Arial" w:eastAsia="Arial" w:hAnsi="Arial" w:cs="Arial"/>
                <w:b/>
                <w:bCs/>
                <w:color w:val="404968"/>
                <w:spacing w:val="-3"/>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on</w:t>
            </w:r>
            <w:r w:rsidRPr="00426C6B">
              <w:rPr>
                <w:rFonts w:ascii="Arial" w:eastAsia="Arial" w:hAnsi="Arial" w:cs="Arial"/>
                <w:b/>
                <w:bCs/>
                <w:color w:val="404968"/>
                <w:spacing w:val="-2"/>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Human</w:t>
            </w:r>
            <w:r w:rsidRPr="00426C6B">
              <w:rPr>
                <w:rFonts w:ascii="Arial" w:eastAsia="Arial" w:hAnsi="Arial" w:cs="Arial"/>
                <w:b/>
                <w:bCs/>
                <w:color w:val="404968"/>
                <w:spacing w:val="-3"/>
                <w:kern w:val="0"/>
                <w:sz w:val="22"/>
                <w:szCs w:val="22"/>
                <w:lang w:val="en-US"/>
                <w14:ligatures w14:val="none"/>
              </w:rPr>
              <w:t xml:space="preserve"> </w:t>
            </w:r>
            <w:r w:rsidRPr="00426C6B">
              <w:rPr>
                <w:rFonts w:ascii="Arial" w:eastAsia="Arial" w:hAnsi="Arial" w:cs="Arial"/>
                <w:b/>
                <w:bCs/>
                <w:color w:val="404968"/>
                <w:kern w:val="0"/>
                <w:sz w:val="22"/>
                <w:szCs w:val="22"/>
                <w:lang w:val="en-US"/>
                <w14:ligatures w14:val="none"/>
              </w:rPr>
              <w:t>Rights</w:t>
            </w:r>
            <w:r w:rsidRPr="00426C6B">
              <w:rPr>
                <w:rFonts w:ascii="Arial" w:eastAsia="Arial" w:hAnsi="Arial" w:cs="Arial"/>
                <w:b/>
                <w:bCs/>
                <w:color w:val="404968"/>
                <w:spacing w:val="-1"/>
                <w:kern w:val="0"/>
                <w:sz w:val="22"/>
                <w:szCs w:val="22"/>
                <w:lang w:val="en-US"/>
                <w14:ligatures w14:val="none"/>
              </w:rPr>
              <w:t xml:space="preserve"> </w:t>
            </w:r>
            <w:r w:rsidRPr="00426C6B">
              <w:rPr>
                <w:rFonts w:ascii="Arial" w:eastAsia="Arial" w:hAnsi="Arial" w:cs="Arial"/>
                <w:bCs/>
                <w:spacing w:val="-4"/>
                <w:kern w:val="0"/>
                <w:sz w:val="22"/>
                <w:szCs w:val="22"/>
                <w:lang w:val="en-US"/>
                <w14:ligatures w14:val="none"/>
              </w:rPr>
              <w:t>....</w:t>
            </w:r>
            <w:r w:rsidRPr="00426C6B">
              <w:rPr>
                <w:rFonts w:ascii="Arial" w:eastAsia="Arial" w:hAnsi="Arial" w:cs="Arial"/>
                <w:bCs/>
                <w:kern w:val="0"/>
                <w:sz w:val="22"/>
                <w:szCs w:val="22"/>
                <w:lang w:val="en-US"/>
                <w14:ligatures w14:val="none"/>
              </w:rPr>
              <w:tab/>
            </w:r>
            <w:r w:rsidRPr="00426C6B">
              <w:rPr>
                <w:rFonts w:ascii="Arial" w:eastAsia="Arial" w:hAnsi="Arial" w:cs="Arial"/>
                <w:bCs/>
                <w:spacing w:val="-5"/>
                <w:kern w:val="0"/>
                <w:sz w:val="22"/>
                <w:szCs w:val="22"/>
                <w:lang w:val="en-US"/>
                <w14:ligatures w14:val="none"/>
              </w:rPr>
              <w:t>16</w:t>
            </w:r>
          </w:hyperlink>
        </w:p>
        <w:p w14:paraId="1FD90A6A" w14:textId="77777777" w:rsidR="00426C6B" w:rsidRPr="00426C6B" w:rsidRDefault="00426C6B" w:rsidP="00426C6B">
          <w:pPr>
            <w:widowControl w:val="0"/>
            <w:tabs>
              <w:tab w:val="right" w:pos="8909"/>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15" w:history="1">
            <w:r w:rsidRPr="00426C6B">
              <w:rPr>
                <w:rFonts w:ascii="Arial" w:eastAsia="Arial" w:hAnsi="Arial" w:cs="Arial"/>
                <w:kern w:val="0"/>
                <w:sz w:val="22"/>
                <w:szCs w:val="22"/>
                <w:lang w:val="en-US"/>
                <w14:ligatures w14:val="none"/>
              </w:rPr>
              <w:t>What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Part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2</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does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16</w:t>
            </w:r>
          </w:hyperlink>
        </w:p>
        <w:p w14:paraId="647139DB" w14:textId="77777777" w:rsidR="00426C6B" w:rsidRPr="00426C6B" w:rsidRDefault="00426C6B" w:rsidP="00426C6B">
          <w:pPr>
            <w:widowControl w:val="0"/>
            <w:tabs>
              <w:tab w:val="right" w:pos="8910"/>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14"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17:</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Sponsor</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claims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19</w:t>
            </w:r>
          </w:hyperlink>
        </w:p>
        <w:p w14:paraId="66C56CFC" w14:textId="77777777" w:rsidR="00426C6B" w:rsidRPr="00426C6B" w:rsidRDefault="00426C6B" w:rsidP="00426C6B">
          <w:pPr>
            <w:widowControl w:val="0"/>
            <w:tabs>
              <w:tab w:val="right" w:pos="8910"/>
            </w:tabs>
            <w:autoSpaceDE w:val="0"/>
            <w:autoSpaceDN w:val="0"/>
            <w:spacing w:before="40" w:after="0" w:line="240" w:lineRule="auto"/>
            <w:ind w:left="208"/>
            <w:rPr>
              <w:rFonts w:ascii="Arial" w:eastAsia="Arial" w:hAnsi="Arial" w:cs="Arial"/>
              <w:kern w:val="0"/>
              <w:sz w:val="22"/>
              <w:szCs w:val="22"/>
              <w:lang w:val="en-US"/>
              <w14:ligatures w14:val="none"/>
            </w:rPr>
          </w:pPr>
          <w:hyperlink w:anchor="_TOC_250013"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18:</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Family</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Life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19</w:t>
            </w:r>
          </w:hyperlink>
        </w:p>
        <w:p w14:paraId="3EF2E500" w14:textId="77777777" w:rsidR="00426C6B" w:rsidRPr="00426C6B" w:rsidRDefault="00426C6B" w:rsidP="00426C6B">
          <w:pPr>
            <w:widowControl w:val="0"/>
            <w:tabs>
              <w:tab w:val="right" w:pos="8909"/>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12"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19:</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Public</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interest</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considerations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20</w:t>
            </w:r>
          </w:hyperlink>
        </w:p>
        <w:p w14:paraId="07480898" w14:textId="77777777" w:rsidR="00426C6B" w:rsidRPr="00426C6B" w:rsidRDefault="00426C6B" w:rsidP="00426C6B">
          <w:pPr>
            <w:widowControl w:val="0"/>
            <w:tabs>
              <w:tab w:val="right" w:pos="8910"/>
            </w:tabs>
            <w:autoSpaceDE w:val="0"/>
            <w:autoSpaceDN w:val="0"/>
            <w:spacing w:before="40" w:after="20" w:line="240" w:lineRule="auto"/>
            <w:ind w:left="208"/>
            <w:rPr>
              <w:rFonts w:ascii="Arial" w:eastAsia="Arial" w:hAnsi="Arial" w:cs="Arial"/>
              <w:kern w:val="0"/>
              <w:sz w:val="22"/>
              <w:szCs w:val="22"/>
              <w:lang w:val="en-US"/>
              <w14:ligatures w14:val="none"/>
            </w:rPr>
          </w:pPr>
          <w:hyperlink w:anchor="_TOC_250011"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20:</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Cases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involving</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foreign</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criminals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and</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others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liable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deportation</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22</w:t>
            </w:r>
          </w:hyperlink>
        </w:p>
        <w:p w14:paraId="717E6FA8" w14:textId="77777777" w:rsidR="00426C6B" w:rsidRPr="00426C6B" w:rsidRDefault="00426C6B" w:rsidP="00426C6B">
          <w:pPr>
            <w:widowControl w:val="0"/>
            <w:tabs>
              <w:tab w:val="left" w:pos="8664"/>
            </w:tabs>
            <w:autoSpaceDE w:val="0"/>
            <w:autoSpaceDN w:val="0"/>
            <w:spacing w:before="90" w:after="0" w:line="240" w:lineRule="auto"/>
            <w:ind w:left="23"/>
            <w:rPr>
              <w:rFonts w:ascii="Arial" w:eastAsia="Arial" w:hAnsi="Arial" w:cs="Arial"/>
              <w:bCs/>
              <w:iCs/>
              <w:kern w:val="0"/>
              <w:sz w:val="22"/>
              <w:szCs w:val="22"/>
              <w:lang w:val="en-US"/>
              <w14:ligatures w14:val="none"/>
            </w:rPr>
          </w:pPr>
          <w:hyperlink w:anchor="_TOC_250010" w:history="1">
            <w:r w:rsidRPr="00426C6B">
              <w:rPr>
                <w:rFonts w:ascii="Arial" w:eastAsia="Arial" w:hAnsi="Arial" w:cs="Arial"/>
                <w:b/>
                <w:bCs/>
                <w:iCs/>
                <w:color w:val="404968"/>
                <w:kern w:val="0"/>
                <w:sz w:val="22"/>
                <w:szCs w:val="22"/>
                <w:lang w:val="en-US"/>
                <w14:ligatures w14:val="none"/>
              </w:rPr>
              <w:t>Part</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3</w:t>
            </w:r>
            <w:r w:rsidRPr="00426C6B">
              <w:rPr>
                <w:rFonts w:ascii="Arial" w:eastAsia="Arial" w:hAnsi="Arial" w:cs="Arial"/>
                <w:b/>
                <w:bCs/>
                <w:iCs/>
                <w:color w:val="404968"/>
                <w:spacing w:val="-6"/>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Protection</w:t>
            </w:r>
            <w:r w:rsidRPr="00426C6B">
              <w:rPr>
                <w:rFonts w:ascii="Arial" w:eastAsia="Arial" w:hAnsi="Arial" w:cs="Arial"/>
                <w:b/>
                <w:bCs/>
                <w:iCs/>
                <w:color w:val="404968"/>
                <w:spacing w:val="-6"/>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status</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and</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asylum</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Cs/>
                <w:iCs/>
                <w:spacing w:val="-2"/>
                <w:kern w:val="0"/>
                <w:sz w:val="22"/>
                <w:szCs w:val="22"/>
                <w:lang w:val="en-US"/>
                <w14:ligatures w14:val="none"/>
              </w:rPr>
              <w:t>.................................................</w:t>
            </w:r>
            <w:r w:rsidRPr="00426C6B">
              <w:rPr>
                <w:rFonts w:ascii="Arial" w:eastAsia="Arial" w:hAnsi="Arial" w:cs="Arial"/>
                <w:bCs/>
                <w:iCs/>
                <w:kern w:val="0"/>
                <w:sz w:val="22"/>
                <w:szCs w:val="22"/>
                <w:lang w:val="en-US"/>
                <w14:ligatures w14:val="none"/>
              </w:rPr>
              <w:tab/>
            </w:r>
            <w:r w:rsidRPr="00426C6B">
              <w:rPr>
                <w:rFonts w:ascii="Arial" w:eastAsia="Arial" w:hAnsi="Arial" w:cs="Arial"/>
                <w:bCs/>
                <w:iCs/>
                <w:spacing w:val="-5"/>
                <w:kern w:val="0"/>
                <w:sz w:val="22"/>
                <w:szCs w:val="22"/>
                <w:lang w:val="en-US"/>
                <w14:ligatures w14:val="none"/>
              </w:rPr>
              <w:t>22</w:t>
            </w:r>
          </w:hyperlink>
        </w:p>
        <w:p w14:paraId="1A8E61F7" w14:textId="77777777" w:rsidR="00426C6B" w:rsidRPr="00426C6B" w:rsidRDefault="00426C6B" w:rsidP="00426C6B">
          <w:pPr>
            <w:widowControl w:val="0"/>
            <w:tabs>
              <w:tab w:val="left" w:pos="8664"/>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09" w:history="1">
            <w:r w:rsidRPr="00426C6B">
              <w:rPr>
                <w:rFonts w:ascii="Arial" w:eastAsia="Arial" w:hAnsi="Arial" w:cs="Arial"/>
                <w:kern w:val="0"/>
                <w:sz w:val="22"/>
                <w:szCs w:val="22"/>
                <w:lang w:val="en-US"/>
                <w14:ligatures w14:val="none"/>
              </w:rPr>
              <w:t>What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Part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3</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does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23</w:t>
            </w:r>
          </w:hyperlink>
        </w:p>
        <w:p w14:paraId="635103CA" w14:textId="77777777" w:rsidR="00426C6B" w:rsidRPr="00426C6B" w:rsidRDefault="00426C6B" w:rsidP="00426C6B">
          <w:pPr>
            <w:widowControl w:val="0"/>
            <w:tabs>
              <w:tab w:val="left" w:pos="8664"/>
            </w:tabs>
            <w:autoSpaceDE w:val="0"/>
            <w:autoSpaceDN w:val="0"/>
            <w:spacing w:before="38"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21:</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Core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Protection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23</w:t>
          </w:r>
        </w:p>
        <w:p w14:paraId="360B4C07" w14:textId="77777777" w:rsidR="00426C6B" w:rsidRPr="00426C6B" w:rsidRDefault="00426C6B" w:rsidP="00426C6B">
          <w:pPr>
            <w:widowControl w:val="0"/>
            <w:tabs>
              <w:tab w:val="left" w:pos="8664"/>
            </w:tabs>
            <w:autoSpaceDE w:val="0"/>
            <w:autoSpaceDN w:val="0"/>
            <w:spacing w:before="42" w:after="0" w:line="240" w:lineRule="auto"/>
            <w:ind w:left="208"/>
            <w:rPr>
              <w:rFonts w:ascii="Arial" w:eastAsia="Arial" w:hAnsi="Arial" w:cs="Arial"/>
              <w:kern w:val="0"/>
              <w:sz w:val="22"/>
              <w:szCs w:val="22"/>
              <w:lang w:val="en-US"/>
              <w14:ligatures w14:val="none"/>
            </w:rPr>
          </w:pPr>
          <w:hyperlink w:anchor="_TOC_250008"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10"/>
                <w:kern w:val="0"/>
                <w:sz w:val="22"/>
                <w:szCs w:val="22"/>
                <w:lang w:val="en-US"/>
                <w14:ligatures w14:val="none"/>
              </w:rPr>
              <w:t xml:space="preserve"> </w:t>
            </w:r>
            <w:r w:rsidRPr="00426C6B">
              <w:rPr>
                <w:rFonts w:ascii="Arial" w:eastAsia="Arial" w:hAnsi="Arial" w:cs="Arial"/>
                <w:kern w:val="0"/>
                <w:sz w:val="22"/>
                <w:szCs w:val="22"/>
                <w:lang w:val="en-US"/>
                <w14:ligatures w14:val="none"/>
              </w:rPr>
              <w:t>22:</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Interpretation</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Refugee</w:t>
            </w:r>
            <w:r w:rsidRPr="00426C6B">
              <w:rPr>
                <w:rFonts w:ascii="Arial" w:eastAsia="Arial" w:hAnsi="Arial" w:cs="Arial"/>
                <w:spacing w:val="-11"/>
                <w:kern w:val="0"/>
                <w:sz w:val="22"/>
                <w:szCs w:val="22"/>
                <w:lang w:val="en-US"/>
                <w14:ligatures w14:val="none"/>
              </w:rPr>
              <w:t xml:space="preserve"> </w:t>
            </w:r>
            <w:r w:rsidRPr="00426C6B">
              <w:rPr>
                <w:rFonts w:ascii="Arial" w:eastAsia="Arial" w:hAnsi="Arial" w:cs="Arial"/>
                <w:kern w:val="0"/>
                <w:sz w:val="22"/>
                <w:szCs w:val="22"/>
                <w:lang w:val="en-US"/>
                <w14:ligatures w14:val="none"/>
              </w:rPr>
              <w:t>Convention:</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"lawfully</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staying"</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24</w:t>
            </w:r>
          </w:hyperlink>
        </w:p>
        <w:p w14:paraId="6A7074BE" w14:textId="77777777" w:rsidR="00426C6B" w:rsidRPr="00426C6B" w:rsidRDefault="00426C6B" w:rsidP="00426C6B">
          <w:pPr>
            <w:widowControl w:val="0"/>
            <w:tabs>
              <w:tab w:val="left" w:pos="8664"/>
            </w:tabs>
            <w:autoSpaceDE w:val="0"/>
            <w:autoSpaceDN w:val="0"/>
            <w:spacing w:before="316" w:after="0" w:line="240" w:lineRule="auto"/>
            <w:ind w:left="23"/>
            <w:rPr>
              <w:rFonts w:ascii="Arial" w:eastAsia="Arial" w:hAnsi="Arial" w:cs="Arial"/>
              <w:bCs/>
              <w:iCs/>
              <w:kern w:val="0"/>
              <w:sz w:val="22"/>
              <w:szCs w:val="22"/>
              <w:lang w:val="en-US"/>
              <w14:ligatures w14:val="none"/>
            </w:rPr>
          </w:pPr>
          <w:hyperlink w:anchor="_TOC_250007" w:history="1">
            <w:r w:rsidRPr="00426C6B">
              <w:rPr>
                <w:rFonts w:ascii="Arial" w:eastAsia="Arial" w:hAnsi="Arial" w:cs="Arial"/>
                <w:b/>
                <w:bCs/>
                <w:iCs/>
                <w:color w:val="404968"/>
                <w:kern w:val="0"/>
                <w:sz w:val="22"/>
                <w:szCs w:val="22"/>
                <w:lang w:val="en-US"/>
                <w14:ligatures w14:val="none"/>
              </w:rPr>
              <w:t>Part</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4</w:t>
            </w:r>
            <w:r w:rsidRPr="00426C6B">
              <w:rPr>
                <w:rFonts w:ascii="Arial" w:eastAsia="Arial" w:hAnsi="Arial" w:cs="Arial"/>
                <w:b/>
                <w:bCs/>
                <w:iCs/>
                <w:color w:val="404968"/>
                <w:spacing w:val="-7"/>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Asylum</w:t>
            </w:r>
            <w:r w:rsidRPr="00426C6B">
              <w:rPr>
                <w:rFonts w:ascii="Arial" w:eastAsia="Arial" w:hAnsi="Arial" w:cs="Arial"/>
                <w:b/>
                <w:bCs/>
                <w:iCs/>
                <w:color w:val="404968"/>
                <w:spacing w:val="-2"/>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Support</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Cs/>
                <w:iCs/>
                <w:spacing w:val="-2"/>
                <w:kern w:val="0"/>
                <w:sz w:val="22"/>
                <w:szCs w:val="22"/>
                <w:lang w:val="en-US"/>
                <w14:ligatures w14:val="none"/>
              </w:rPr>
              <w:t>......................................................................</w:t>
            </w:r>
            <w:r w:rsidRPr="00426C6B">
              <w:rPr>
                <w:rFonts w:ascii="Arial" w:eastAsia="Arial" w:hAnsi="Arial" w:cs="Arial"/>
                <w:bCs/>
                <w:iCs/>
                <w:kern w:val="0"/>
                <w:sz w:val="22"/>
                <w:szCs w:val="22"/>
                <w:lang w:val="en-US"/>
                <w14:ligatures w14:val="none"/>
              </w:rPr>
              <w:tab/>
            </w:r>
            <w:r w:rsidRPr="00426C6B">
              <w:rPr>
                <w:rFonts w:ascii="Arial" w:eastAsia="Arial" w:hAnsi="Arial" w:cs="Arial"/>
                <w:bCs/>
                <w:iCs/>
                <w:spacing w:val="-5"/>
                <w:kern w:val="0"/>
                <w:sz w:val="22"/>
                <w:szCs w:val="22"/>
                <w:lang w:val="en-US"/>
                <w14:ligatures w14:val="none"/>
              </w:rPr>
              <w:t>25</w:t>
            </w:r>
          </w:hyperlink>
        </w:p>
        <w:p w14:paraId="773B92CF" w14:textId="77777777" w:rsidR="00426C6B" w:rsidRPr="00426C6B" w:rsidRDefault="00426C6B" w:rsidP="00426C6B">
          <w:pPr>
            <w:widowControl w:val="0"/>
            <w:tabs>
              <w:tab w:val="left" w:pos="8664"/>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06" w:history="1">
            <w:r w:rsidRPr="00426C6B">
              <w:rPr>
                <w:rFonts w:ascii="Arial" w:eastAsia="Arial" w:hAnsi="Arial" w:cs="Arial"/>
                <w:kern w:val="0"/>
                <w:sz w:val="22"/>
                <w:szCs w:val="22"/>
                <w:lang w:val="en-US"/>
                <w14:ligatures w14:val="none"/>
              </w:rPr>
              <w:t>What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Part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4</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does</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25</w:t>
            </w:r>
          </w:hyperlink>
        </w:p>
        <w:p w14:paraId="437BFDB8" w14:textId="77777777" w:rsidR="00426C6B" w:rsidRPr="00426C6B" w:rsidRDefault="00426C6B" w:rsidP="00426C6B">
          <w:pPr>
            <w:widowControl w:val="0"/>
            <w:tabs>
              <w:tab w:val="left" w:pos="8664"/>
            </w:tabs>
            <w:autoSpaceDE w:val="0"/>
            <w:autoSpaceDN w:val="0"/>
            <w:spacing w:before="40" w:after="0" w:line="240" w:lineRule="auto"/>
            <w:ind w:left="208"/>
            <w:rPr>
              <w:rFonts w:ascii="Arial" w:eastAsia="Arial" w:hAnsi="Arial" w:cs="Arial"/>
              <w:kern w:val="0"/>
              <w:sz w:val="22"/>
              <w:szCs w:val="22"/>
              <w:lang w:val="en-US"/>
              <w14:ligatures w14:val="none"/>
            </w:rPr>
          </w:pPr>
          <w:hyperlink w:anchor="_TOC_250005"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23:</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Power</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require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payments</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from</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recipients</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asylum</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support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25</w:t>
            </w:r>
          </w:hyperlink>
        </w:p>
        <w:p w14:paraId="06C152B1" w14:textId="77777777" w:rsidR="00426C6B" w:rsidRPr="00426C6B" w:rsidRDefault="00426C6B" w:rsidP="00426C6B">
          <w:pPr>
            <w:widowControl w:val="0"/>
            <w:tabs>
              <w:tab w:val="left" w:pos="8664"/>
            </w:tabs>
            <w:autoSpaceDE w:val="0"/>
            <w:autoSpaceDN w:val="0"/>
            <w:spacing w:before="316" w:after="0" w:line="240" w:lineRule="auto"/>
            <w:ind w:left="23"/>
            <w:rPr>
              <w:rFonts w:ascii="Arial" w:eastAsia="Arial" w:hAnsi="Arial" w:cs="Arial"/>
              <w:bCs/>
              <w:iCs/>
              <w:kern w:val="0"/>
              <w:sz w:val="22"/>
              <w:szCs w:val="22"/>
              <w:lang w:val="en-US"/>
              <w14:ligatures w14:val="none"/>
            </w:rPr>
          </w:pPr>
          <w:r w:rsidRPr="00426C6B">
            <w:rPr>
              <w:rFonts w:ascii="Arial" w:eastAsia="Arial" w:hAnsi="Arial" w:cs="Arial"/>
              <w:b/>
              <w:bCs/>
              <w:iCs/>
              <w:color w:val="404968"/>
              <w:kern w:val="0"/>
              <w:sz w:val="22"/>
              <w:szCs w:val="22"/>
              <w:lang w:val="en-US"/>
              <w14:ligatures w14:val="none"/>
            </w:rPr>
            <w:t>Part</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5</w:t>
          </w:r>
          <w:r w:rsidRPr="00426C6B">
            <w:rPr>
              <w:rFonts w:ascii="Arial" w:eastAsia="Arial" w:hAnsi="Arial" w:cs="Arial"/>
              <w:b/>
              <w:bCs/>
              <w:iCs/>
              <w:color w:val="404968"/>
              <w:spacing w:val="-5"/>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Modern</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Slavery</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Cs/>
              <w:iCs/>
              <w:spacing w:val="-2"/>
              <w:kern w:val="0"/>
              <w:sz w:val="22"/>
              <w:szCs w:val="22"/>
              <w:lang w:val="en-US"/>
              <w14:ligatures w14:val="none"/>
            </w:rPr>
            <w:t>.......................................................................</w:t>
          </w:r>
          <w:r w:rsidRPr="00426C6B">
            <w:rPr>
              <w:rFonts w:ascii="Arial" w:eastAsia="Arial" w:hAnsi="Arial" w:cs="Arial"/>
              <w:bCs/>
              <w:iCs/>
              <w:kern w:val="0"/>
              <w:sz w:val="22"/>
              <w:szCs w:val="22"/>
              <w:lang w:val="en-US"/>
              <w14:ligatures w14:val="none"/>
            </w:rPr>
            <w:tab/>
          </w:r>
          <w:r w:rsidRPr="00426C6B">
            <w:rPr>
              <w:rFonts w:ascii="Arial" w:eastAsia="Arial" w:hAnsi="Arial" w:cs="Arial"/>
              <w:bCs/>
              <w:iCs/>
              <w:spacing w:val="-5"/>
              <w:kern w:val="0"/>
              <w:sz w:val="22"/>
              <w:szCs w:val="22"/>
              <w:lang w:val="en-US"/>
              <w14:ligatures w14:val="none"/>
            </w:rPr>
            <w:t>28</w:t>
          </w:r>
        </w:p>
        <w:p w14:paraId="418DF16B" w14:textId="77777777" w:rsidR="00426C6B" w:rsidRPr="00426C6B" w:rsidRDefault="00426C6B" w:rsidP="00426C6B">
          <w:pPr>
            <w:widowControl w:val="0"/>
            <w:tabs>
              <w:tab w:val="left" w:pos="8664"/>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04" w:history="1">
            <w:r w:rsidRPr="00426C6B">
              <w:rPr>
                <w:rFonts w:ascii="Arial" w:eastAsia="Arial" w:hAnsi="Arial" w:cs="Arial"/>
                <w:kern w:val="0"/>
                <w:sz w:val="22"/>
                <w:szCs w:val="22"/>
                <w:lang w:val="en-US"/>
                <w14:ligatures w14:val="none"/>
              </w:rPr>
              <w:t>ILPA</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rejects</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framing</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28</w:t>
            </w:r>
          </w:hyperlink>
        </w:p>
        <w:p w14:paraId="7D737AA5" w14:textId="77777777" w:rsidR="00426C6B" w:rsidRPr="00426C6B" w:rsidRDefault="00426C6B" w:rsidP="00426C6B">
          <w:pPr>
            <w:widowControl w:val="0"/>
            <w:tabs>
              <w:tab w:val="left" w:pos="8664"/>
            </w:tabs>
            <w:autoSpaceDE w:val="0"/>
            <w:autoSpaceDN w:val="0"/>
            <w:spacing w:before="38" w:after="0" w:line="240" w:lineRule="auto"/>
            <w:ind w:left="208"/>
            <w:rPr>
              <w:rFonts w:ascii="Arial" w:eastAsia="Arial" w:hAnsi="Arial" w:cs="Arial"/>
              <w:kern w:val="0"/>
              <w:sz w:val="22"/>
              <w:szCs w:val="22"/>
              <w:lang w:val="en-US"/>
              <w14:ligatures w14:val="none"/>
            </w:rPr>
          </w:pPr>
          <w:hyperlink w:anchor="_TOC_250003" w:history="1">
            <w:r w:rsidRPr="00426C6B">
              <w:rPr>
                <w:rFonts w:ascii="Arial" w:eastAsia="Arial" w:hAnsi="Arial" w:cs="Arial"/>
                <w:kern w:val="0"/>
                <w:sz w:val="22"/>
                <w:szCs w:val="22"/>
                <w:lang w:val="en-US"/>
                <w14:ligatures w14:val="none"/>
              </w:rPr>
              <w:t>Why</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this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will</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not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achieve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the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Government's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stated</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aims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28</w:t>
            </w:r>
          </w:hyperlink>
        </w:p>
        <w:p w14:paraId="523517E8" w14:textId="77777777" w:rsidR="00426C6B" w:rsidRPr="00426C6B" w:rsidRDefault="00426C6B" w:rsidP="00426C6B">
          <w:pPr>
            <w:widowControl w:val="0"/>
            <w:tabs>
              <w:tab w:val="left" w:pos="8664"/>
            </w:tabs>
            <w:autoSpaceDE w:val="0"/>
            <w:autoSpaceDN w:val="0"/>
            <w:spacing w:before="40" w:after="0" w:line="240" w:lineRule="auto"/>
            <w:ind w:left="20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Clause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36</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Deciding</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if</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a</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person</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is</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a</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victim:</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credibility</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29</w:t>
          </w:r>
        </w:p>
        <w:p w14:paraId="59E304CF" w14:textId="77777777" w:rsidR="00426C6B" w:rsidRPr="00426C6B" w:rsidRDefault="00426C6B" w:rsidP="00426C6B">
          <w:pPr>
            <w:widowControl w:val="0"/>
            <w:tabs>
              <w:tab w:val="left" w:pos="8664"/>
            </w:tabs>
            <w:autoSpaceDE w:val="0"/>
            <w:autoSpaceDN w:val="0"/>
            <w:spacing w:before="37" w:after="0" w:line="276" w:lineRule="auto"/>
            <w:ind w:left="208" w:right="68"/>
            <w:rPr>
              <w:rFonts w:ascii="Arial" w:eastAsia="Arial" w:hAnsi="Arial" w:cs="Arial"/>
              <w:kern w:val="0"/>
              <w:sz w:val="22"/>
              <w:szCs w:val="22"/>
              <w:lang w:val="en-US"/>
              <w14:ligatures w14:val="none"/>
            </w:rPr>
          </w:pPr>
          <w:r w:rsidRPr="00426C6B">
            <w:rPr>
              <w:rFonts w:ascii="Arial" w:eastAsia="Arial" w:hAnsi="Arial" w:cs="Arial"/>
              <w:kern w:val="0"/>
              <w:sz w:val="22"/>
              <w:szCs w:val="22"/>
              <w:lang w:val="en-US"/>
              <w14:ligatures w14:val="none"/>
            </w:rPr>
            <w:t>Clause</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37</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 Recovery</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period</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end</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on</w:t>
          </w:r>
          <w:r w:rsidRPr="00426C6B">
            <w:rPr>
              <w:rFonts w:ascii="Arial" w:eastAsia="Arial" w:hAnsi="Arial" w:cs="Arial"/>
              <w:spacing w:val="-6"/>
              <w:kern w:val="0"/>
              <w:sz w:val="22"/>
              <w:szCs w:val="22"/>
              <w:lang w:val="en-US"/>
              <w14:ligatures w14:val="none"/>
            </w:rPr>
            <w:t xml:space="preserve"> </w:t>
          </w:r>
          <w:proofErr w:type="gramStart"/>
          <w:r w:rsidRPr="00426C6B">
            <w:rPr>
              <w:rFonts w:ascii="Arial" w:eastAsia="Arial" w:hAnsi="Arial" w:cs="Arial"/>
              <w:kern w:val="0"/>
              <w:sz w:val="22"/>
              <w:szCs w:val="22"/>
              <w:lang w:val="en-US"/>
              <w14:ligatures w14:val="none"/>
            </w:rPr>
            <w:t>making</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of</w:t>
          </w:r>
          <w:proofErr w:type="gramEnd"/>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kern w:val="0"/>
              <w:sz w:val="22"/>
              <w:szCs w:val="22"/>
              <w:lang w:val="en-US"/>
              <w14:ligatures w14:val="none"/>
            </w:rPr>
            <w:t>negative</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conclusive</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grounds</w:t>
          </w:r>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kern w:val="0"/>
              <w:sz w:val="22"/>
              <w:szCs w:val="22"/>
              <w:lang w:val="en-US"/>
              <w14:ligatures w14:val="none"/>
            </w:rPr>
            <w:t>decision 29 Clause 38 - Disqualification from protection .............................</w:t>
          </w:r>
          <w:r w:rsidRPr="00426C6B">
            <w:rPr>
              <w:rFonts w:ascii="Arial" w:eastAsia="Arial" w:hAnsi="Arial" w:cs="Arial"/>
              <w:kern w:val="0"/>
              <w:sz w:val="22"/>
              <w:szCs w:val="22"/>
              <w:lang w:val="en-US"/>
              <w14:ligatures w14:val="none"/>
            </w:rPr>
            <w:tab/>
          </w:r>
          <w:r w:rsidRPr="00426C6B">
            <w:rPr>
              <w:rFonts w:ascii="Arial" w:eastAsia="Arial" w:hAnsi="Arial" w:cs="Arial"/>
              <w:spacing w:val="-6"/>
              <w:kern w:val="0"/>
              <w:sz w:val="22"/>
              <w:szCs w:val="22"/>
              <w:lang w:val="en-US"/>
              <w14:ligatures w14:val="none"/>
            </w:rPr>
            <w:t>30</w:t>
          </w:r>
        </w:p>
        <w:p w14:paraId="753C57C1" w14:textId="77777777" w:rsidR="00426C6B" w:rsidRPr="00426C6B" w:rsidRDefault="00426C6B" w:rsidP="00426C6B">
          <w:pPr>
            <w:widowControl w:val="0"/>
            <w:tabs>
              <w:tab w:val="left" w:pos="8664"/>
            </w:tabs>
            <w:autoSpaceDE w:val="0"/>
            <w:autoSpaceDN w:val="0"/>
            <w:spacing w:after="0" w:line="253" w:lineRule="exact"/>
            <w:ind w:left="208"/>
            <w:rPr>
              <w:rFonts w:ascii="Arial" w:eastAsia="Arial" w:hAnsi="Arial" w:cs="Arial"/>
              <w:kern w:val="0"/>
              <w:sz w:val="22"/>
              <w:szCs w:val="22"/>
              <w:lang w:val="en-US"/>
              <w14:ligatures w14:val="none"/>
            </w:rPr>
          </w:pPr>
          <w:hyperlink w:anchor="_TOC_250002"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39</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w:t>
            </w:r>
            <w:r w:rsidRPr="00426C6B">
              <w:rPr>
                <w:rFonts w:ascii="Arial" w:eastAsia="Arial" w:hAnsi="Arial" w:cs="Arial"/>
                <w:spacing w:val="-1"/>
                <w:kern w:val="0"/>
                <w:sz w:val="22"/>
                <w:szCs w:val="22"/>
                <w:lang w:val="en-US"/>
                <w14:ligatures w14:val="none"/>
              </w:rPr>
              <w:t xml:space="preserve"> </w:t>
            </w:r>
            <w:r w:rsidRPr="00426C6B">
              <w:rPr>
                <w:rFonts w:ascii="Arial" w:eastAsia="Arial" w:hAnsi="Arial" w:cs="Arial"/>
                <w:kern w:val="0"/>
                <w:sz w:val="22"/>
                <w:szCs w:val="22"/>
                <w:lang w:val="en-US"/>
                <w14:ligatures w14:val="none"/>
              </w:rPr>
              <w:t>Removal</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of</w:t>
            </w:r>
            <w:r w:rsidRPr="00426C6B">
              <w:rPr>
                <w:rFonts w:ascii="Arial" w:eastAsia="Arial" w:hAnsi="Arial" w:cs="Arial"/>
                <w:spacing w:val="-2"/>
                <w:kern w:val="0"/>
                <w:sz w:val="22"/>
                <w:szCs w:val="22"/>
                <w:lang w:val="en-US"/>
                <w14:ligatures w14:val="none"/>
              </w:rPr>
              <w:t xml:space="preserve"> </w:t>
            </w:r>
            <w:r w:rsidRPr="00426C6B">
              <w:rPr>
                <w:rFonts w:ascii="Arial" w:eastAsia="Arial" w:hAnsi="Arial" w:cs="Arial"/>
                <w:kern w:val="0"/>
                <w:sz w:val="22"/>
                <w:szCs w:val="22"/>
                <w:lang w:val="en-US"/>
                <w14:ligatures w14:val="none"/>
              </w:rPr>
              <w:t>duty</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grant</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leave</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remain</w:t>
            </w:r>
            <w:r w:rsidRPr="00426C6B">
              <w:rPr>
                <w:rFonts w:ascii="Arial" w:eastAsia="Arial" w:hAnsi="Arial" w:cs="Arial"/>
                <w:spacing w:val="-3"/>
                <w:kern w:val="0"/>
                <w:sz w:val="22"/>
                <w:szCs w:val="22"/>
                <w:lang w:val="en-US"/>
                <w14:ligatures w14:val="none"/>
              </w:rPr>
              <w:t xml:space="preserve"> </w:t>
            </w:r>
            <w:r w:rsidRPr="00426C6B">
              <w:rPr>
                <w:rFonts w:ascii="Arial" w:eastAsia="Arial" w:hAnsi="Arial" w:cs="Arial"/>
                <w:kern w:val="0"/>
                <w:sz w:val="22"/>
                <w:szCs w:val="22"/>
                <w:lang w:val="en-US"/>
                <w14:ligatures w14:val="none"/>
              </w:rPr>
              <w:t>to</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assist</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recovery</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31</w:t>
            </w:r>
          </w:hyperlink>
        </w:p>
        <w:p w14:paraId="26FF9029" w14:textId="77777777" w:rsidR="00426C6B" w:rsidRPr="00426C6B" w:rsidRDefault="00426C6B" w:rsidP="00426C6B">
          <w:pPr>
            <w:widowControl w:val="0"/>
            <w:tabs>
              <w:tab w:val="left" w:pos="8664"/>
            </w:tabs>
            <w:autoSpaceDE w:val="0"/>
            <w:autoSpaceDN w:val="0"/>
            <w:spacing w:before="37" w:after="0" w:line="240" w:lineRule="auto"/>
            <w:ind w:left="208"/>
            <w:rPr>
              <w:rFonts w:ascii="Arial" w:eastAsia="Arial" w:hAnsi="Arial" w:cs="Arial"/>
              <w:kern w:val="0"/>
              <w:sz w:val="22"/>
              <w:szCs w:val="22"/>
              <w:lang w:val="en-US"/>
              <w14:ligatures w14:val="none"/>
            </w:rPr>
          </w:pPr>
          <w:hyperlink w:anchor="_TOC_250001" w:history="1">
            <w:r w:rsidRPr="00426C6B">
              <w:rPr>
                <w:rFonts w:ascii="Arial" w:eastAsia="Arial" w:hAnsi="Arial" w:cs="Arial"/>
                <w:kern w:val="0"/>
                <w:sz w:val="22"/>
                <w:szCs w:val="22"/>
                <w:lang w:val="en-US"/>
                <w14:ligatures w14:val="none"/>
              </w:rPr>
              <w:t>Clauses</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40-42</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kern w:val="0"/>
                <w:sz w:val="22"/>
                <w:szCs w:val="22"/>
                <w:lang w:val="en-US"/>
                <w14:ligatures w14:val="none"/>
              </w:rPr>
              <w:t>Independent</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Child</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Trafficking</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Guardians</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32</w:t>
            </w:r>
          </w:hyperlink>
        </w:p>
        <w:p w14:paraId="354A30EA" w14:textId="77777777" w:rsidR="00426C6B" w:rsidRPr="00426C6B" w:rsidRDefault="00426C6B" w:rsidP="00426C6B">
          <w:pPr>
            <w:widowControl w:val="0"/>
            <w:tabs>
              <w:tab w:val="left" w:pos="8664"/>
            </w:tabs>
            <w:autoSpaceDE w:val="0"/>
            <w:autoSpaceDN w:val="0"/>
            <w:spacing w:before="43" w:after="0" w:line="240" w:lineRule="auto"/>
            <w:ind w:left="208"/>
            <w:rPr>
              <w:rFonts w:ascii="Arial" w:eastAsia="Arial" w:hAnsi="Arial" w:cs="Arial"/>
              <w:kern w:val="0"/>
              <w:sz w:val="22"/>
              <w:szCs w:val="22"/>
              <w:lang w:val="en-US"/>
              <w14:ligatures w14:val="none"/>
            </w:rPr>
          </w:pPr>
          <w:hyperlink w:anchor="_TOC_250000" w:history="1">
            <w:r w:rsidRPr="00426C6B">
              <w:rPr>
                <w:rFonts w:ascii="Arial" w:eastAsia="Arial" w:hAnsi="Arial" w:cs="Arial"/>
                <w:kern w:val="0"/>
                <w:sz w:val="22"/>
                <w:szCs w:val="22"/>
                <w:lang w:val="en-US"/>
                <w14:ligatures w14:val="none"/>
              </w:rPr>
              <w:t>Clause</w:t>
            </w:r>
            <w:r w:rsidRPr="00426C6B">
              <w:rPr>
                <w:rFonts w:ascii="Arial" w:eastAsia="Arial" w:hAnsi="Arial" w:cs="Arial"/>
                <w:spacing w:val="-8"/>
                <w:kern w:val="0"/>
                <w:sz w:val="22"/>
                <w:szCs w:val="22"/>
                <w:lang w:val="en-US"/>
                <w14:ligatures w14:val="none"/>
              </w:rPr>
              <w:t xml:space="preserve"> </w:t>
            </w:r>
            <w:r w:rsidRPr="00426C6B">
              <w:rPr>
                <w:rFonts w:ascii="Arial" w:eastAsia="Arial" w:hAnsi="Arial" w:cs="Arial"/>
                <w:kern w:val="0"/>
                <w:sz w:val="22"/>
                <w:szCs w:val="22"/>
                <w:lang w:val="en-US"/>
                <w14:ligatures w14:val="none"/>
              </w:rPr>
              <w:t>43</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w:t>
            </w:r>
            <w:r w:rsidRPr="00426C6B">
              <w:rPr>
                <w:rFonts w:ascii="Arial" w:eastAsia="Arial" w:hAnsi="Arial" w:cs="Arial"/>
                <w:spacing w:val="-4"/>
                <w:kern w:val="0"/>
                <w:sz w:val="22"/>
                <w:szCs w:val="22"/>
                <w:lang w:val="en-US"/>
                <w14:ligatures w14:val="none"/>
              </w:rPr>
              <w:t xml:space="preserve"> </w:t>
            </w:r>
            <w:r w:rsidRPr="00426C6B">
              <w:rPr>
                <w:rFonts w:ascii="Arial" w:eastAsia="Arial" w:hAnsi="Arial" w:cs="Arial"/>
                <w:kern w:val="0"/>
                <w:sz w:val="22"/>
                <w:szCs w:val="22"/>
                <w:lang w:val="en-US"/>
                <w14:ligatures w14:val="none"/>
              </w:rPr>
              <w:t>Assistance</w:t>
            </w:r>
            <w:r w:rsidRPr="00426C6B">
              <w:rPr>
                <w:rFonts w:ascii="Arial" w:eastAsia="Arial" w:hAnsi="Arial" w:cs="Arial"/>
                <w:spacing w:val="-7"/>
                <w:kern w:val="0"/>
                <w:sz w:val="22"/>
                <w:szCs w:val="22"/>
                <w:lang w:val="en-US"/>
                <w14:ligatures w14:val="none"/>
              </w:rPr>
              <w:t xml:space="preserve"> </w:t>
            </w:r>
            <w:r w:rsidRPr="00426C6B">
              <w:rPr>
                <w:rFonts w:ascii="Arial" w:eastAsia="Arial" w:hAnsi="Arial" w:cs="Arial"/>
                <w:kern w:val="0"/>
                <w:sz w:val="22"/>
                <w:szCs w:val="22"/>
                <w:lang w:val="en-US"/>
                <w14:ligatures w14:val="none"/>
              </w:rPr>
              <w:t>and</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support</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for</w:t>
            </w:r>
            <w:r w:rsidRPr="00426C6B">
              <w:rPr>
                <w:rFonts w:ascii="Arial" w:eastAsia="Arial" w:hAnsi="Arial" w:cs="Arial"/>
                <w:spacing w:val="-5"/>
                <w:kern w:val="0"/>
                <w:sz w:val="22"/>
                <w:szCs w:val="22"/>
                <w:lang w:val="en-US"/>
                <w14:ligatures w14:val="none"/>
              </w:rPr>
              <w:t xml:space="preserve"> </w:t>
            </w:r>
            <w:r w:rsidRPr="00426C6B">
              <w:rPr>
                <w:rFonts w:ascii="Arial" w:eastAsia="Arial" w:hAnsi="Arial" w:cs="Arial"/>
                <w:kern w:val="0"/>
                <w:sz w:val="22"/>
                <w:szCs w:val="22"/>
                <w:lang w:val="en-US"/>
                <w14:ligatures w14:val="none"/>
              </w:rPr>
              <w:t>potential</w:t>
            </w:r>
            <w:r w:rsidRPr="00426C6B">
              <w:rPr>
                <w:rFonts w:ascii="Arial" w:eastAsia="Arial" w:hAnsi="Arial" w:cs="Arial"/>
                <w:spacing w:val="-6"/>
                <w:kern w:val="0"/>
                <w:sz w:val="22"/>
                <w:szCs w:val="22"/>
                <w:lang w:val="en-US"/>
                <w14:ligatures w14:val="none"/>
              </w:rPr>
              <w:t xml:space="preserve"> </w:t>
            </w:r>
            <w:r w:rsidRPr="00426C6B">
              <w:rPr>
                <w:rFonts w:ascii="Arial" w:eastAsia="Arial" w:hAnsi="Arial" w:cs="Arial"/>
                <w:kern w:val="0"/>
                <w:sz w:val="22"/>
                <w:szCs w:val="22"/>
                <w:lang w:val="en-US"/>
                <w14:ligatures w14:val="none"/>
              </w:rPr>
              <w:t>victims</w:t>
            </w:r>
            <w:r w:rsidRPr="00426C6B">
              <w:rPr>
                <w:rFonts w:ascii="Arial" w:eastAsia="Arial" w:hAnsi="Arial" w:cs="Arial"/>
                <w:spacing w:val="-9"/>
                <w:kern w:val="0"/>
                <w:sz w:val="22"/>
                <w:szCs w:val="22"/>
                <w:lang w:val="en-US"/>
                <w14:ligatures w14:val="none"/>
              </w:rPr>
              <w:t xml:space="preserve"> </w:t>
            </w:r>
            <w:r w:rsidRPr="00426C6B">
              <w:rPr>
                <w:rFonts w:ascii="Arial" w:eastAsia="Arial" w:hAnsi="Arial" w:cs="Arial"/>
                <w:spacing w:val="-2"/>
                <w:kern w:val="0"/>
                <w:sz w:val="22"/>
                <w:szCs w:val="22"/>
                <w:lang w:val="en-US"/>
                <w14:ligatures w14:val="none"/>
              </w:rPr>
              <w:t>..........</w:t>
            </w:r>
            <w:r w:rsidRPr="00426C6B">
              <w:rPr>
                <w:rFonts w:ascii="Arial" w:eastAsia="Arial" w:hAnsi="Arial" w:cs="Arial"/>
                <w:kern w:val="0"/>
                <w:sz w:val="22"/>
                <w:szCs w:val="22"/>
                <w:lang w:val="en-US"/>
                <w14:ligatures w14:val="none"/>
              </w:rPr>
              <w:tab/>
            </w:r>
            <w:r w:rsidRPr="00426C6B">
              <w:rPr>
                <w:rFonts w:ascii="Arial" w:eastAsia="Arial" w:hAnsi="Arial" w:cs="Arial"/>
                <w:spacing w:val="-5"/>
                <w:kern w:val="0"/>
                <w:sz w:val="22"/>
                <w:szCs w:val="22"/>
                <w:lang w:val="en-US"/>
                <w14:ligatures w14:val="none"/>
              </w:rPr>
              <w:t>33</w:t>
            </w:r>
          </w:hyperlink>
        </w:p>
        <w:p w14:paraId="7A434770" w14:textId="77777777" w:rsidR="00426C6B" w:rsidRPr="00426C6B" w:rsidRDefault="00426C6B" w:rsidP="00426C6B">
          <w:pPr>
            <w:widowControl w:val="0"/>
            <w:tabs>
              <w:tab w:val="left" w:pos="8664"/>
            </w:tabs>
            <w:autoSpaceDE w:val="0"/>
            <w:autoSpaceDN w:val="0"/>
            <w:spacing w:before="318" w:after="0" w:line="240" w:lineRule="auto"/>
            <w:ind w:left="23"/>
            <w:rPr>
              <w:rFonts w:ascii="Arial" w:eastAsia="Arial" w:hAnsi="Arial" w:cs="Arial"/>
              <w:i/>
              <w:iCs/>
              <w:kern w:val="0"/>
              <w:sz w:val="22"/>
              <w:szCs w:val="22"/>
              <w:lang w:val="en-US"/>
              <w14:ligatures w14:val="none"/>
            </w:rPr>
          </w:pPr>
          <w:r w:rsidRPr="00426C6B">
            <w:rPr>
              <w:rFonts w:ascii="Arial" w:eastAsia="Arial" w:hAnsi="Arial" w:cs="Arial"/>
              <w:b/>
              <w:bCs/>
              <w:iCs/>
              <w:color w:val="404968"/>
              <w:kern w:val="0"/>
              <w:sz w:val="22"/>
              <w:szCs w:val="22"/>
              <w:lang w:val="en-US"/>
              <w14:ligatures w14:val="none"/>
            </w:rPr>
            <w:t>Annex</w:t>
          </w:r>
          <w:r w:rsidRPr="00426C6B">
            <w:rPr>
              <w:rFonts w:ascii="Arial" w:eastAsia="Arial" w:hAnsi="Arial" w:cs="Arial"/>
              <w:b/>
              <w:bCs/>
              <w:iCs/>
              <w:color w:val="404968"/>
              <w:spacing w:val="-9"/>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A:</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Scenario-based</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examples</w:t>
          </w:r>
          <w:r w:rsidRPr="00426C6B">
            <w:rPr>
              <w:rFonts w:ascii="Arial" w:eastAsia="Arial" w:hAnsi="Arial" w:cs="Arial"/>
              <w:b/>
              <w:bCs/>
              <w:iCs/>
              <w:color w:val="404968"/>
              <w:spacing w:val="-4"/>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Part</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2</w:t>
          </w:r>
          <w:r w:rsidRPr="00426C6B">
            <w:rPr>
              <w:rFonts w:ascii="Arial" w:eastAsia="Arial" w:hAnsi="Arial" w:cs="Arial"/>
              <w:b/>
              <w:bCs/>
              <w:iCs/>
              <w:color w:val="404968"/>
              <w:spacing w:val="-8"/>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Article</w:t>
          </w:r>
          <w:r w:rsidRPr="00426C6B">
            <w:rPr>
              <w:rFonts w:ascii="Arial" w:eastAsia="Arial" w:hAnsi="Arial" w:cs="Arial"/>
              <w:b/>
              <w:bCs/>
              <w:iCs/>
              <w:color w:val="404968"/>
              <w:spacing w:val="-3"/>
              <w:kern w:val="0"/>
              <w:sz w:val="22"/>
              <w:szCs w:val="22"/>
              <w:lang w:val="en-US"/>
              <w14:ligatures w14:val="none"/>
            </w:rPr>
            <w:t xml:space="preserve"> </w:t>
          </w:r>
          <w:r w:rsidRPr="00426C6B">
            <w:rPr>
              <w:rFonts w:ascii="Arial" w:eastAsia="Arial" w:hAnsi="Arial" w:cs="Arial"/>
              <w:b/>
              <w:bCs/>
              <w:iCs/>
              <w:color w:val="404968"/>
              <w:kern w:val="0"/>
              <w:sz w:val="22"/>
              <w:szCs w:val="22"/>
              <w:lang w:val="en-US"/>
              <w14:ligatures w14:val="none"/>
            </w:rPr>
            <w:t>8</w:t>
          </w:r>
          <w:r w:rsidRPr="00426C6B">
            <w:rPr>
              <w:rFonts w:ascii="Arial" w:eastAsia="Arial" w:hAnsi="Arial" w:cs="Arial"/>
              <w:b/>
              <w:bCs/>
              <w:iCs/>
              <w:color w:val="404968"/>
              <w:spacing w:val="-5"/>
              <w:kern w:val="0"/>
              <w:sz w:val="22"/>
              <w:szCs w:val="22"/>
              <w:lang w:val="en-US"/>
              <w14:ligatures w14:val="none"/>
            </w:rPr>
            <w:t xml:space="preserve"> </w:t>
          </w:r>
          <w:r w:rsidRPr="00426C6B">
            <w:rPr>
              <w:rFonts w:ascii="Arial" w:eastAsia="Arial" w:hAnsi="Arial" w:cs="Arial"/>
              <w:bCs/>
              <w:iCs/>
              <w:spacing w:val="-2"/>
              <w:kern w:val="0"/>
              <w:sz w:val="22"/>
              <w:szCs w:val="22"/>
              <w:lang w:val="en-US"/>
              <w14:ligatures w14:val="none"/>
            </w:rPr>
            <w:t>.............................</w:t>
          </w:r>
          <w:r w:rsidRPr="00426C6B">
            <w:rPr>
              <w:rFonts w:ascii="Arial" w:eastAsia="Arial" w:hAnsi="Arial" w:cs="Arial"/>
              <w:bCs/>
              <w:iCs/>
              <w:kern w:val="0"/>
              <w:sz w:val="22"/>
              <w:szCs w:val="22"/>
              <w:lang w:val="en-US"/>
              <w14:ligatures w14:val="none"/>
            </w:rPr>
            <w:tab/>
          </w:r>
          <w:r w:rsidRPr="00426C6B">
            <w:rPr>
              <w:rFonts w:ascii="Arial" w:eastAsia="Arial" w:hAnsi="Arial" w:cs="Arial"/>
              <w:bCs/>
              <w:iCs/>
              <w:spacing w:val="-5"/>
              <w:kern w:val="0"/>
              <w:sz w:val="22"/>
              <w:szCs w:val="22"/>
              <w:lang w:val="en-US"/>
              <w14:ligatures w14:val="none"/>
            </w:rPr>
            <w:t>34</w:t>
          </w:r>
        </w:p>
      </w:sdtContent>
    </w:sdt>
    <w:p w14:paraId="25A03492" w14:textId="3B1216FF" w:rsidR="00EF097B" w:rsidRDefault="00EF097B" w:rsidP="1B9E9B8D">
      <w:pPr>
        <w:rPr>
          <w:rFonts w:ascii="Arial" w:eastAsia="Arial" w:hAnsi="Arial" w:cs="Arial"/>
          <w:b/>
          <w:color w:val="404A68"/>
          <w:sz w:val="22"/>
          <w:szCs w:val="22"/>
        </w:rPr>
      </w:pPr>
    </w:p>
    <w:p w14:paraId="50FA0B2D" w14:textId="77777777" w:rsidR="0080340B" w:rsidRDefault="0080340B" w:rsidP="1B9E9B8D">
      <w:pPr>
        <w:rPr>
          <w:rFonts w:ascii="Arial" w:eastAsia="Arial" w:hAnsi="Arial" w:cs="Arial"/>
          <w:b/>
          <w:color w:val="404A68"/>
          <w:sz w:val="22"/>
          <w:szCs w:val="22"/>
        </w:rPr>
      </w:pPr>
    </w:p>
    <w:p w14:paraId="2969600C" w14:textId="77777777" w:rsidR="008B047E" w:rsidRDefault="008B047E" w:rsidP="1B9E9B8D">
      <w:pPr>
        <w:rPr>
          <w:rFonts w:ascii="Arial" w:eastAsia="Arial" w:hAnsi="Arial" w:cs="Arial"/>
          <w:b/>
          <w:color w:val="404A68"/>
          <w:sz w:val="22"/>
          <w:szCs w:val="22"/>
        </w:rPr>
      </w:pPr>
    </w:p>
    <w:p w14:paraId="09B8BA72" w14:textId="77777777" w:rsidR="008B047E" w:rsidRDefault="008B047E" w:rsidP="1B9E9B8D">
      <w:pPr>
        <w:rPr>
          <w:rFonts w:ascii="Arial" w:eastAsia="Arial" w:hAnsi="Arial" w:cs="Arial"/>
          <w:b/>
          <w:color w:val="404A68"/>
          <w:sz w:val="22"/>
          <w:szCs w:val="22"/>
        </w:rPr>
      </w:pPr>
    </w:p>
    <w:p w14:paraId="2CB8CFB9" w14:textId="77777777" w:rsidR="008B047E" w:rsidRDefault="008B047E" w:rsidP="1B9E9B8D">
      <w:pPr>
        <w:rPr>
          <w:rFonts w:ascii="Arial" w:eastAsia="Arial" w:hAnsi="Arial" w:cs="Arial"/>
          <w:b/>
          <w:color w:val="404A68"/>
          <w:sz w:val="22"/>
          <w:szCs w:val="22"/>
        </w:rPr>
      </w:pPr>
    </w:p>
    <w:p w14:paraId="7A38B24F" w14:textId="77777777" w:rsidR="008B047E" w:rsidRDefault="008B047E" w:rsidP="1B9E9B8D">
      <w:pPr>
        <w:rPr>
          <w:rFonts w:ascii="Arial" w:eastAsia="Arial" w:hAnsi="Arial" w:cs="Arial"/>
          <w:b/>
          <w:color w:val="404A68"/>
          <w:sz w:val="22"/>
          <w:szCs w:val="22"/>
        </w:rPr>
      </w:pPr>
    </w:p>
    <w:p w14:paraId="41AABDE4" w14:textId="77777777" w:rsidR="008B047E" w:rsidRDefault="008B047E" w:rsidP="1B9E9B8D">
      <w:pPr>
        <w:rPr>
          <w:rFonts w:ascii="Arial" w:eastAsia="Arial" w:hAnsi="Arial" w:cs="Arial"/>
          <w:b/>
          <w:color w:val="404A68"/>
          <w:sz w:val="22"/>
          <w:szCs w:val="22"/>
        </w:rPr>
      </w:pPr>
    </w:p>
    <w:p w14:paraId="15590B92" w14:textId="77777777" w:rsidR="008B047E" w:rsidRDefault="008B047E" w:rsidP="1B9E9B8D">
      <w:pPr>
        <w:rPr>
          <w:rFonts w:ascii="Arial" w:eastAsia="Arial" w:hAnsi="Arial" w:cs="Arial"/>
          <w:b/>
          <w:color w:val="404A68"/>
          <w:sz w:val="22"/>
          <w:szCs w:val="22"/>
        </w:rPr>
      </w:pPr>
    </w:p>
    <w:p w14:paraId="515456B9" w14:textId="77777777" w:rsidR="008B047E" w:rsidRDefault="008B047E" w:rsidP="1B9E9B8D">
      <w:pPr>
        <w:rPr>
          <w:rFonts w:ascii="Arial" w:eastAsia="Arial" w:hAnsi="Arial" w:cs="Arial"/>
          <w:b/>
          <w:color w:val="404A68"/>
          <w:sz w:val="22"/>
          <w:szCs w:val="22"/>
        </w:rPr>
      </w:pPr>
    </w:p>
    <w:p w14:paraId="303C56EC" w14:textId="77777777" w:rsidR="008B047E" w:rsidRDefault="008B047E" w:rsidP="1B9E9B8D">
      <w:pPr>
        <w:rPr>
          <w:rFonts w:ascii="Arial" w:eastAsia="Arial" w:hAnsi="Arial" w:cs="Arial"/>
          <w:b/>
          <w:color w:val="404A68"/>
          <w:sz w:val="22"/>
          <w:szCs w:val="22"/>
        </w:rPr>
      </w:pPr>
    </w:p>
    <w:p w14:paraId="38A89A55" w14:textId="77777777" w:rsidR="008B047E" w:rsidRDefault="008B047E" w:rsidP="1B9E9B8D">
      <w:pPr>
        <w:rPr>
          <w:rFonts w:ascii="Arial" w:eastAsia="Arial" w:hAnsi="Arial" w:cs="Arial"/>
          <w:b/>
          <w:color w:val="404A68"/>
          <w:sz w:val="22"/>
          <w:szCs w:val="22"/>
        </w:rPr>
      </w:pPr>
    </w:p>
    <w:p w14:paraId="1CF5BF11" w14:textId="77777777" w:rsidR="008B047E" w:rsidRDefault="008B047E" w:rsidP="1B9E9B8D">
      <w:pPr>
        <w:rPr>
          <w:rFonts w:ascii="Arial" w:eastAsia="Arial" w:hAnsi="Arial" w:cs="Arial"/>
          <w:b/>
          <w:color w:val="404A68"/>
          <w:sz w:val="22"/>
          <w:szCs w:val="22"/>
        </w:rPr>
      </w:pPr>
    </w:p>
    <w:p w14:paraId="63B13C48" w14:textId="77777777" w:rsidR="008B047E" w:rsidRDefault="008B047E" w:rsidP="1B9E9B8D">
      <w:pPr>
        <w:rPr>
          <w:rFonts w:ascii="Arial" w:eastAsia="Arial" w:hAnsi="Arial" w:cs="Arial"/>
          <w:b/>
          <w:color w:val="404A68"/>
          <w:sz w:val="22"/>
          <w:szCs w:val="22"/>
        </w:rPr>
      </w:pPr>
    </w:p>
    <w:p w14:paraId="58EDD59E" w14:textId="77777777" w:rsidR="008B047E" w:rsidRDefault="008B047E" w:rsidP="1B9E9B8D">
      <w:pPr>
        <w:rPr>
          <w:rFonts w:ascii="Arial" w:eastAsia="Arial" w:hAnsi="Arial" w:cs="Arial"/>
          <w:b/>
          <w:color w:val="404A68"/>
          <w:sz w:val="22"/>
          <w:szCs w:val="22"/>
        </w:rPr>
      </w:pPr>
    </w:p>
    <w:p w14:paraId="38E36C81" w14:textId="77777777" w:rsidR="008B047E" w:rsidRDefault="008B047E" w:rsidP="1B9E9B8D">
      <w:pPr>
        <w:rPr>
          <w:rFonts w:ascii="Arial" w:eastAsia="Arial" w:hAnsi="Arial" w:cs="Arial"/>
          <w:b/>
          <w:color w:val="404A68"/>
          <w:sz w:val="22"/>
          <w:szCs w:val="22"/>
        </w:rPr>
      </w:pPr>
    </w:p>
    <w:p w14:paraId="5FA267F6" w14:textId="77777777" w:rsidR="008B047E" w:rsidRDefault="008B047E" w:rsidP="1B9E9B8D">
      <w:pPr>
        <w:rPr>
          <w:rFonts w:ascii="Arial" w:eastAsia="Arial" w:hAnsi="Arial" w:cs="Arial"/>
          <w:b/>
          <w:color w:val="404A68"/>
          <w:sz w:val="22"/>
          <w:szCs w:val="22"/>
        </w:rPr>
      </w:pPr>
    </w:p>
    <w:p w14:paraId="4861BEE0" w14:textId="77777777" w:rsidR="008B047E" w:rsidRDefault="008B047E" w:rsidP="1B9E9B8D">
      <w:pPr>
        <w:rPr>
          <w:rFonts w:ascii="Arial" w:eastAsia="Arial" w:hAnsi="Arial" w:cs="Arial"/>
          <w:b/>
          <w:color w:val="404A68"/>
          <w:sz w:val="22"/>
          <w:szCs w:val="22"/>
        </w:rPr>
      </w:pPr>
    </w:p>
    <w:p w14:paraId="3FA0C22D" w14:textId="77777777" w:rsidR="0080340B" w:rsidRDefault="0080340B" w:rsidP="1B9E9B8D">
      <w:pPr>
        <w:rPr>
          <w:rFonts w:ascii="Arial" w:eastAsia="Arial" w:hAnsi="Arial" w:cs="Arial"/>
          <w:b/>
          <w:color w:val="404A68"/>
          <w:sz w:val="22"/>
          <w:szCs w:val="22"/>
        </w:rPr>
      </w:pPr>
    </w:p>
    <w:p w14:paraId="55A55ADC" w14:textId="7EDFF9F9" w:rsidR="00FC4EC9" w:rsidRPr="009908E8" w:rsidRDefault="315309C6" w:rsidP="1B9E9B8D">
      <w:pPr>
        <w:rPr>
          <w:rFonts w:ascii="Arial" w:eastAsia="Arial" w:hAnsi="Arial" w:cs="Arial"/>
          <w:b/>
          <w:color w:val="404A68"/>
          <w:sz w:val="22"/>
          <w:szCs w:val="22"/>
        </w:rPr>
      </w:pPr>
      <w:r w:rsidRPr="47D51BD3">
        <w:rPr>
          <w:rFonts w:ascii="Arial" w:eastAsia="Arial" w:hAnsi="Arial" w:cs="Arial"/>
          <w:b/>
          <w:color w:val="404A68"/>
          <w:sz w:val="22"/>
          <w:szCs w:val="22"/>
        </w:rPr>
        <w:t xml:space="preserve">About us </w:t>
      </w:r>
    </w:p>
    <w:p w14:paraId="27BB49D0" w14:textId="3D14D202" w:rsidR="00CA36C9" w:rsidRPr="009908E8" w:rsidRDefault="315309C6" w:rsidP="1B9E9B8D">
      <w:pPr>
        <w:pStyle w:val="paragraph"/>
        <w:spacing w:before="0" w:beforeAutospacing="0" w:after="0" w:afterAutospacing="0" w:line="276" w:lineRule="auto"/>
        <w:jc w:val="both"/>
        <w:textAlignment w:val="baseline"/>
        <w:rPr>
          <w:rStyle w:val="normaltextrun"/>
          <w:rFonts w:ascii="Arial" w:eastAsia="Arial" w:hAnsi="Arial" w:cs="Arial"/>
          <w:sz w:val="22"/>
          <w:szCs w:val="22"/>
        </w:rPr>
      </w:pPr>
      <w:r w:rsidRPr="47D51BD3">
        <w:rPr>
          <w:rStyle w:val="normaltextrun"/>
          <w:rFonts w:ascii="Arial" w:eastAsia="Arial" w:hAnsi="Arial" w:cs="Arial"/>
          <w:sz w:val="22"/>
          <w:szCs w:val="22"/>
        </w:rPr>
        <w:t>Founded in 1984, the Immigration Law Practitioners' Association ("ILPA") is a professional association and registered charity,</w:t>
      </w:r>
      <w:r w:rsidR="11EE4A3B" w:rsidRPr="47D51BD3">
        <w:rPr>
          <w:rStyle w:val="normaltextrun"/>
          <w:rFonts w:ascii="Arial" w:eastAsia="Arial" w:hAnsi="Arial" w:cs="Arial"/>
          <w:sz w:val="22"/>
          <w:szCs w:val="22"/>
        </w:rPr>
        <w:t> </w:t>
      </w:r>
      <w:proofErr w:type="gramStart"/>
      <w:r w:rsidR="11EE4A3B" w:rsidRPr="47D51BD3">
        <w:rPr>
          <w:rStyle w:val="normaltextrun"/>
          <w:rFonts w:ascii="Arial" w:eastAsia="Arial" w:hAnsi="Arial" w:cs="Arial"/>
          <w:sz w:val="22"/>
          <w:szCs w:val="22"/>
        </w:rPr>
        <w:t>the</w:t>
      </w:r>
      <w:r w:rsidRPr="47D51BD3">
        <w:rPr>
          <w:rStyle w:val="normaltextrun"/>
          <w:rFonts w:ascii="Arial" w:eastAsia="Arial" w:hAnsi="Arial" w:cs="Arial"/>
          <w:sz w:val="22"/>
          <w:szCs w:val="22"/>
        </w:rPr>
        <w:t xml:space="preserve"> majority </w:t>
      </w:r>
      <w:r w:rsidR="11EE4A3B" w:rsidRPr="47D51BD3">
        <w:rPr>
          <w:rStyle w:val="normaltextrun"/>
          <w:rFonts w:ascii="Arial" w:eastAsia="Arial" w:hAnsi="Arial" w:cs="Arial"/>
          <w:sz w:val="22"/>
          <w:szCs w:val="22"/>
        </w:rPr>
        <w:t>of</w:t>
      </w:r>
      <w:proofErr w:type="gramEnd"/>
      <w:r w:rsidR="11EE4A3B" w:rsidRPr="47D51BD3">
        <w:rPr>
          <w:rStyle w:val="normaltextrun"/>
          <w:rFonts w:ascii="Arial" w:eastAsia="Arial" w:hAnsi="Arial" w:cs="Arial"/>
          <w:sz w:val="22"/>
          <w:szCs w:val="22"/>
        </w:rPr>
        <w:t> whose</w:t>
      </w:r>
      <w:r w:rsidRPr="47D51BD3">
        <w:rPr>
          <w:rStyle w:val="normaltextrun"/>
          <w:rFonts w:ascii="Arial" w:eastAsia="Arial" w:hAnsi="Arial" w:cs="Arial"/>
          <w:sz w:val="22"/>
          <w:szCs w:val="22"/>
        </w:rPr>
        <w:t xml:space="preserve"> members are barristers, solicitors, and advocates practising in all aspects of immigration, asylum, and nationality law. Academics, non-</w:t>
      </w:r>
      <w:r w:rsidR="11EE4A3B" w:rsidRPr="47D51BD3">
        <w:rPr>
          <w:rStyle w:val="normaltextrun"/>
          <w:rFonts w:ascii="Arial" w:eastAsia="Arial" w:hAnsi="Arial" w:cs="Arial"/>
          <w:sz w:val="22"/>
          <w:szCs w:val="22"/>
        </w:rPr>
        <w:t>governmental organisations and</w:t>
      </w:r>
      <w:r w:rsidRPr="47D51BD3">
        <w:rPr>
          <w:rStyle w:val="normaltextrun"/>
          <w:rFonts w:ascii="Arial" w:eastAsia="Arial" w:hAnsi="Arial" w:cs="Arial"/>
          <w:sz w:val="22"/>
          <w:szCs w:val="22"/>
        </w:rPr>
        <w:t xml:space="preserve"> individuals with a substantial interest in the law are also members. ILPA exists to promote and improve advice and representation in immigration, asylum and nationality law, and to act as an information and knowledge resource for members of the immigration law profession, with its vision being a fair and effective immigration system that respects human rights and the rule of law.</w:t>
      </w:r>
    </w:p>
    <w:p w14:paraId="52318643" w14:textId="3DDB8E80" w:rsidR="00C33315" w:rsidRPr="009908E8" w:rsidRDefault="00C33315" w:rsidP="1B9E9B8D">
      <w:pPr>
        <w:pStyle w:val="paragraph"/>
        <w:spacing w:before="0" w:beforeAutospacing="0" w:after="0" w:afterAutospacing="0" w:line="276" w:lineRule="auto"/>
        <w:jc w:val="both"/>
        <w:textAlignment w:val="baseline"/>
        <w:rPr>
          <w:rFonts w:ascii="Arial" w:eastAsia="Arial" w:hAnsi="Arial" w:cs="Arial"/>
          <w:sz w:val="22"/>
          <w:szCs w:val="22"/>
        </w:rPr>
      </w:pPr>
    </w:p>
    <w:p w14:paraId="6C66DE87" w14:textId="46E90C34"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Executive Summary</w:t>
      </w:r>
    </w:p>
    <w:p w14:paraId="4173D2C9" w14:textId="6CACD037"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ILPA's position</w:t>
      </w:r>
    </w:p>
    <w:p w14:paraId="136A38AC" w14:textId="1581B4DF"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 xml:space="preserve">ILPA opposes the new Immigration &amp; Asylum Bill in its entirety. </w:t>
      </w:r>
    </w:p>
    <w:p w14:paraId="6D0CD52E" w14:textId="475CC6C1"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It will not solve the delays and backlog in the asylum system</w:t>
      </w:r>
      <w:r w:rsidR="3CD50297" w:rsidRPr="47D51BD3">
        <w:rPr>
          <w:rFonts w:ascii="Arial" w:eastAsia="Arial" w:hAnsi="Arial" w:cs="Arial"/>
          <w:sz w:val="22"/>
          <w:szCs w:val="22"/>
        </w:rPr>
        <w:t>, and it does not add</w:t>
      </w:r>
      <w:r w:rsidR="756E0140" w:rsidRPr="47D51BD3">
        <w:rPr>
          <w:rFonts w:ascii="Arial" w:eastAsia="Arial" w:hAnsi="Arial" w:cs="Arial"/>
          <w:sz w:val="22"/>
          <w:szCs w:val="22"/>
        </w:rPr>
        <w:t xml:space="preserve">ress their root causes, which are </w:t>
      </w:r>
      <w:r w:rsidRPr="47D51BD3">
        <w:rPr>
          <w:rFonts w:ascii="Arial" w:eastAsia="Arial" w:hAnsi="Arial" w:cs="Arial"/>
          <w:sz w:val="22"/>
          <w:szCs w:val="22"/>
        </w:rPr>
        <w:t xml:space="preserve">poor initial decision-making and the legal aid crisis. Several other parts of the Bill would add substantial and unnecessary work to a system that is not resourced to absorb it, without any accompanying increase in legal aid provision. </w:t>
      </w:r>
    </w:p>
    <w:p w14:paraId="205B367B" w14:textId="4E8980C5"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It dismantles a working tribunal system, with established judicial independence and a functioning route to judicial review</w:t>
      </w:r>
      <w:r w:rsidR="384AD730" w:rsidRPr="47D51BD3">
        <w:rPr>
          <w:rFonts w:ascii="Arial" w:eastAsia="Arial" w:hAnsi="Arial" w:cs="Arial"/>
          <w:sz w:val="22"/>
          <w:szCs w:val="22"/>
        </w:rPr>
        <w:t xml:space="preserve"> </w:t>
      </w:r>
      <w:r w:rsidRPr="47D51BD3">
        <w:rPr>
          <w:rFonts w:ascii="Arial" w:eastAsia="Arial" w:hAnsi="Arial" w:cs="Arial"/>
          <w:sz w:val="22"/>
          <w:szCs w:val="22"/>
        </w:rPr>
        <w:t xml:space="preserve">and replaces it with an expensive new body that requires no legal qualification of several of its decision-makers and is appointed through a chain that begins with the Secretary of State. </w:t>
      </w:r>
    </w:p>
    <w:p w14:paraId="6645CE65" w14:textId="087F76D6"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 xml:space="preserve">It </w:t>
      </w:r>
      <w:r w:rsidR="004C2D8F">
        <w:rPr>
          <w:rFonts w:ascii="Arial" w:eastAsia="Arial" w:hAnsi="Arial" w:cs="Arial"/>
          <w:sz w:val="22"/>
          <w:szCs w:val="22"/>
        </w:rPr>
        <w:t>rigidly</w:t>
      </w:r>
      <w:r w:rsidR="00AC2BEC">
        <w:rPr>
          <w:rFonts w:ascii="Arial" w:eastAsia="Arial" w:hAnsi="Arial" w:cs="Arial"/>
          <w:sz w:val="22"/>
          <w:szCs w:val="22"/>
        </w:rPr>
        <w:t xml:space="preserve"> codifies</w:t>
      </w:r>
      <w:r w:rsidRPr="47D51BD3">
        <w:rPr>
          <w:rFonts w:ascii="Arial" w:eastAsia="Arial" w:hAnsi="Arial" w:cs="Arial"/>
          <w:sz w:val="22"/>
          <w:szCs w:val="22"/>
        </w:rPr>
        <w:t xml:space="preserve"> the legal test for family life itself, making it harder for families to reunite or remain with the people they love, at the same time as the dedicated family reunion route has been suspended.</w:t>
      </w:r>
    </w:p>
    <w:p w14:paraId="1F0BDDFF" w14:textId="25B9E00A"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 xml:space="preserve">It punishes people for seeking sanctuary, through a repayment power charged against support, needed in the first place because they are banned from working and left waiting, often for years, for a decision. </w:t>
      </w:r>
    </w:p>
    <w:p w14:paraId="2550494B" w14:textId="134E2B12"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 xml:space="preserve">It leaves substantial parts of the system it creates to future regulations that have not yet been published, most significantly the entire eligibility criteria for the new protection status in Part 3. It restricts modern slavery protections by, wrongly, citing an abuse of the system. And it sits in tension with devolved administrations. </w:t>
      </w:r>
    </w:p>
    <w:p w14:paraId="14188AEE" w14:textId="47F5A813"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 xml:space="preserve">Three separate Parts raise </w:t>
      </w:r>
      <w:r w:rsidR="35CC788B" w:rsidRPr="47D51BD3">
        <w:rPr>
          <w:rFonts w:ascii="Arial" w:eastAsia="Arial" w:hAnsi="Arial" w:cs="Arial"/>
          <w:sz w:val="22"/>
          <w:szCs w:val="22"/>
        </w:rPr>
        <w:t>separate</w:t>
      </w:r>
      <w:r w:rsidRPr="47D51BD3">
        <w:rPr>
          <w:rFonts w:ascii="Arial" w:eastAsia="Arial" w:hAnsi="Arial" w:cs="Arial"/>
          <w:sz w:val="22"/>
          <w:szCs w:val="22"/>
        </w:rPr>
        <w:t xml:space="preserve"> international law concerns of their own: </w:t>
      </w:r>
      <w:r w:rsidR="42913B97" w:rsidRPr="47D51BD3">
        <w:rPr>
          <w:rFonts w:ascii="Arial" w:eastAsia="Arial" w:hAnsi="Arial" w:cs="Arial"/>
          <w:sz w:val="22"/>
          <w:szCs w:val="22"/>
        </w:rPr>
        <w:t xml:space="preserve">the family life test in </w:t>
      </w:r>
      <w:r w:rsidRPr="47D51BD3">
        <w:rPr>
          <w:rFonts w:ascii="Arial" w:eastAsia="Arial" w:hAnsi="Arial" w:cs="Arial"/>
          <w:sz w:val="22"/>
          <w:szCs w:val="22"/>
        </w:rPr>
        <w:t>Part 2</w:t>
      </w:r>
      <w:r w:rsidR="42913B97" w:rsidRPr="47D51BD3">
        <w:rPr>
          <w:rFonts w:ascii="Arial" w:eastAsia="Arial" w:hAnsi="Arial" w:cs="Arial"/>
          <w:sz w:val="22"/>
          <w:szCs w:val="22"/>
        </w:rPr>
        <w:t xml:space="preserve"> </w:t>
      </w:r>
      <w:r w:rsidR="4B621291" w:rsidRPr="47D51BD3">
        <w:rPr>
          <w:rFonts w:ascii="Arial" w:eastAsia="Arial" w:hAnsi="Arial" w:cs="Arial"/>
          <w:sz w:val="22"/>
          <w:szCs w:val="22"/>
        </w:rPr>
        <w:t xml:space="preserve">is </w:t>
      </w:r>
      <w:r w:rsidR="00AC2BEC">
        <w:rPr>
          <w:rFonts w:ascii="Arial" w:eastAsia="Arial" w:hAnsi="Arial" w:cs="Arial"/>
          <w:sz w:val="22"/>
          <w:szCs w:val="22"/>
        </w:rPr>
        <w:t>more rigid</w:t>
      </w:r>
      <w:r w:rsidRPr="47D51BD3">
        <w:rPr>
          <w:rFonts w:ascii="Arial" w:eastAsia="Arial" w:hAnsi="Arial" w:cs="Arial"/>
          <w:sz w:val="22"/>
          <w:szCs w:val="22"/>
        </w:rPr>
        <w:t xml:space="preserve"> than the European Court of Human Rights’ current approach; Part 3's reinterpretation of “lawfully staying” </w:t>
      </w:r>
      <w:r w:rsidR="129361AF" w:rsidRPr="47D51BD3">
        <w:rPr>
          <w:rFonts w:ascii="Arial" w:eastAsia="Arial" w:hAnsi="Arial" w:cs="Arial"/>
          <w:sz w:val="22"/>
          <w:szCs w:val="22"/>
        </w:rPr>
        <w:t>removes</w:t>
      </w:r>
      <w:r w:rsidRPr="47D51BD3">
        <w:rPr>
          <w:rFonts w:ascii="Arial" w:eastAsia="Arial" w:hAnsi="Arial" w:cs="Arial"/>
          <w:sz w:val="22"/>
          <w:szCs w:val="22"/>
        </w:rPr>
        <w:t xml:space="preserve"> a broader </w:t>
      </w:r>
      <w:r w:rsidR="7B83E736" w:rsidRPr="47D51BD3">
        <w:rPr>
          <w:rFonts w:ascii="Arial" w:eastAsia="Arial" w:hAnsi="Arial" w:cs="Arial"/>
          <w:sz w:val="22"/>
          <w:szCs w:val="22"/>
        </w:rPr>
        <w:t>range</w:t>
      </w:r>
      <w:r w:rsidRPr="47D51BD3">
        <w:rPr>
          <w:rFonts w:ascii="Arial" w:eastAsia="Arial" w:hAnsi="Arial" w:cs="Arial"/>
          <w:sz w:val="22"/>
          <w:szCs w:val="22"/>
        </w:rPr>
        <w:t xml:space="preserve"> of Refugee Convention rights than the exception it relies on </w:t>
      </w:r>
      <w:r w:rsidR="2398908D" w:rsidRPr="47D51BD3">
        <w:rPr>
          <w:rFonts w:ascii="Arial" w:eastAsia="Arial" w:hAnsi="Arial" w:cs="Arial"/>
          <w:sz w:val="22"/>
          <w:szCs w:val="22"/>
        </w:rPr>
        <w:t xml:space="preserve">was </w:t>
      </w:r>
      <w:r w:rsidR="3C59EF8B" w:rsidRPr="47D51BD3">
        <w:rPr>
          <w:rFonts w:ascii="Arial" w:eastAsia="Arial" w:hAnsi="Arial" w:cs="Arial"/>
          <w:sz w:val="22"/>
          <w:szCs w:val="22"/>
        </w:rPr>
        <w:t xml:space="preserve">ever </w:t>
      </w:r>
      <w:r w:rsidR="5644E1DB" w:rsidRPr="47D51BD3">
        <w:rPr>
          <w:rFonts w:ascii="Arial" w:eastAsia="Arial" w:hAnsi="Arial" w:cs="Arial"/>
          <w:sz w:val="22"/>
          <w:szCs w:val="22"/>
        </w:rPr>
        <w:t>intended to cover</w:t>
      </w:r>
      <w:r w:rsidRPr="47D51BD3">
        <w:rPr>
          <w:rFonts w:ascii="Arial" w:eastAsia="Arial" w:hAnsi="Arial" w:cs="Arial"/>
          <w:sz w:val="22"/>
          <w:szCs w:val="22"/>
        </w:rPr>
        <w:t>; and Part 5's credibility mechanism sits in tension with the Convention on Action against Trafficking in Human Beings (ECAT) own recognition that early disclosure is unrealistic for trafficking survivors.</w:t>
      </w:r>
    </w:p>
    <w:p w14:paraId="0C968748" w14:textId="60AE5F7C" w:rsidR="00651471" w:rsidRPr="009908E8" w:rsidRDefault="0603F9AF" w:rsidP="004209DA">
      <w:pPr>
        <w:spacing w:line="276" w:lineRule="auto"/>
        <w:jc w:val="both"/>
        <w:rPr>
          <w:rFonts w:ascii="Arial" w:eastAsia="Arial" w:hAnsi="Arial" w:cs="Arial"/>
          <w:sz w:val="22"/>
          <w:szCs w:val="22"/>
        </w:rPr>
      </w:pPr>
      <w:r w:rsidRPr="47D51BD3">
        <w:rPr>
          <w:rFonts w:ascii="Arial" w:eastAsia="Arial" w:hAnsi="Arial" w:cs="Arial"/>
          <w:sz w:val="22"/>
          <w:szCs w:val="22"/>
        </w:rPr>
        <w:t>Across every Part, the Government's justification rests on claims of systemic abuse for which little or no evidence is provided, and where we have checked that evidence directly, it has not withstood scrutiny. For example, the 86% detention-release statistic cited in the Impact Assessment for Part 2</w:t>
      </w:r>
      <w:bookmarkStart w:id="0" w:name="_Ref234483691"/>
      <w:r w:rsidR="00651471" w:rsidRPr="47D51BD3">
        <w:rPr>
          <w:rStyle w:val="FootnoteReference"/>
          <w:rFonts w:ascii="Arial" w:eastAsia="Arial" w:hAnsi="Arial" w:cs="Arial"/>
          <w:sz w:val="22"/>
          <w:szCs w:val="22"/>
        </w:rPr>
        <w:footnoteReference w:id="1"/>
      </w:r>
      <w:bookmarkEnd w:id="0"/>
      <w:r w:rsidRPr="47D51BD3">
        <w:rPr>
          <w:rFonts w:ascii="Arial" w:eastAsia="Arial" w:hAnsi="Arial" w:cs="Arial"/>
          <w:sz w:val="22"/>
          <w:szCs w:val="22"/>
        </w:rPr>
        <w:t xml:space="preserve"> is not, </w:t>
      </w:r>
      <w:r w:rsidR="6DB30B8E" w:rsidRPr="47D51BD3">
        <w:rPr>
          <w:rFonts w:ascii="Arial" w:eastAsia="Arial" w:hAnsi="Arial" w:cs="Arial"/>
          <w:sz w:val="22"/>
          <w:szCs w:val="22"/>
        </w:rPr>
        <w:t xml:space="preserve">according to </w:t>
      </w:r>
      <w:r w:rsidRPr="47D51BD3">
        <w:rPr>
          <w:rFonts w:ascii="Arial" w:eastAsia="Arial" w:hAnsi="Arial" w:cs="Arial"/>
          <w:sz w:val="22"/>
          <w:szCs w:val="22"/>
        </w:rPr>
        <w:t>the Government's own footnote</w:t>
      </w:r>
      <w:r w:rsidR="00651471" w:rsidRPr="47D51BD3">
        <w:rPr>
          <w:rStyle w:val="FootnoteReference"/>
          <w:rFonts w:ascii="Arial" w:eastAsia="Arial" w:hAnsi="Arial" w:cs="Arial"/>
          <w:sz w:val="22"/>
          <w:szCs w:val="22"/>
        </w:rPr>
        <w:footnoteReference w:id="2"/>
      </w:r>
      <w:r w:rsidRPr="47D51BD3">
        <w:rPr>
          <w:rFonts w:ascii="Arial" w:eastAsia="Arial" w:hAnsi="Arial" w:cs="Arial"/>
          <w:sz w:val="22"/>
          <w:szCs w:val="22"/>
        </w:rPr>
        <w:t>, specific to Article 8 alone, and the modern slavery reforms rest on an abuse-the-system narrative that figures from the Home Office itself, 6 bad faith disqualifications out of 23,411 referrals</w:t>
      </w:r>
      <w:r w:rsidR="00651471" w:rsidRPr="47D51BD3">
        <w:rPr>
          <w:rStyle w:val="FootnoteReference"/>
          <w:rFonts w:ascii="Arial" w:eastAsia="Arial" w:hAnsi="Arial" w:cs="Arial"/>
          <w:sz w:val="22"/>
          <w:szCs w:val="22"/>
        </w:rPr>
        <w:footnoteReference w:id="3"/>
      </w:r>
      <w:r w:rsidRPr="47D51BD3">
        <w:rPr>
          <w:rFonts w:ascii="Arial" w:eastAsia="Arial" w:hAnsi="Arial" w:cs="Arial"/>
          <w:sz w:val="22"/>
          <w:szCs w:val="22"/>
        </w:rPr>
        <w:t>, do not support. Accurate evidence exists, and it paints a different picture. The National Audit Office found 42% of sampled asylum decisions contained significant or fail errors</w:t>
      </w:r>
      <w:bookmarkStart w:id="1" w:name="_Ref234483720"/>
      <w:r w:rsidR="00651471" w:rsidRPr="47D51BD3">
        <w:rPr>
          <w:rStyle w:val="FootnoteReference"/>
          <w:rFonts w:ascii="Arial" w:eastAsia="Arial" w:hAnsi="Arial" w:cs="Arial"/>
          <w:sz w:val="22"/>
          <w:szCs w:val="22"/>
        </w:rPr>
        <w:footnoteReference w:id="4"/>
      </w:r>
      <w:bookmarkEnd w:id="1"/>
      <w:r w:rsidRPr="47D51BD3">
        <w:rPr>
          <w:rFonts w:ascii="Arial" w:eastAsia="Arial" w:hAnsi="Arial" w:cs="Arial"/>
          <w:sz w:val="22"/>
          <w:szCs w:val="22"/>
        </w:rPr>
        <w:t xml:space="preserve"> and over half of asylum claimants are currently unable to access a legal aid lawyer at all.</w:t>
      </w:r>
      <w:r w:rsidR="00651471" w:rsidRPr="47D51BD3">
        <w:rPr>
          <w:rStyle w:val="FootnoteReference"/>
          <w:rFonts w:ascii="Arial" w:eastAsia="Arial" w:hAnsi="Arial" w:cs="Arial"/>
          <w:sz w:val="22"/>
          <w:szCs w:val="22"/>
        </w:rPr>
        <w:footnoteReference w:id="5"/>
      </w:r>
      <w:r w:rsidRPr="47D51BD3">
        <w:rPr>
          <w:rFonts w:ascii="Arial" w:eastAsia="Arial" w:hAnsi="Arial" w:cs="Arial"/>
          <w:sz w:val="22"/>
          <w:szCs w:val="22"/>
        </w:rPr>
        <w:t xml:space="preserve"> None of this will be fixed by the restrictions introduced in this Bill. </w:t>
      </w:r>
    </w:p>
    <w:p w14:paraId="05D09F30" w14:textId="6B44E5CD"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 xml:space="preserve">Part 1: Independent Immigration Appeals Authority </w:t>
      </w:r>
    </w:p>
    <w:p w14:paraId="2F77B999" w14:textId="1E61471A" w:rsidR="00651471" w:rsidRPr="009908E8" w:rsidRDefault="0603F9AF" w:rsidP="00206F3C">
      <w:pPr>
        <w:spacing w:line="276" w:lineRule="auto"/>
        <w:jc w:val="both"/>
        <w:rPr>
          <w:rFonts w:ascii="Arial" w:eastAsia="Arial" w:hAnsi="Arial" w:cs="Arial"/>
          <w:sz w:val="22"/>
          <w:szCs w:val="22"/>
        </w:rPr>
      </w:pPr>
      <w:r w:rsidRPr="47D51BD3">
        <w:rPr>
          <w:rFonts w:ascii="Arial" w:eastAsia="Arial" w:hAnsi="Arial" w:cs="Arial"/>
          <w:sz w:val="22"/>
          <w:szCs w:val="22"/>
        </w:rPr>
        <w:t xml:space="preserve">The First-tier Tribunal is replaced, for asylum, human rights, deprivation-of-citizenship and related appeals, by a new body, the Independent Immigration Appeals Authority (IIAA). Its </w:t>
      </w:r>
      <w:r w:rsidR="61ED1AC9" w:rsidRPr="47D51BD3">
        <w:rPr>
          <w:rFonts w:ascii="Arial" w:eastAsia="Arial" w:hAnsi="Arial" w:cs="Arial"/>
          <w:sz w:val="22"/>
          <w:szCs w:val="22"/>
        </w:rPr>
        <w:t>executive</w:t>
      </w:r>
      <w:r w:rsidRPr="47D51BD3">
        <w:rPr>
          <w:rFonts w:ascii="Arial" w:eastAsia="Arial" w:hAnsi="Arial" w:cs="Arial"/>
          <w:sz w:val="22"/>
          <w:szCs w:val="22"/>
        </w:rPr>
        <w:t xml:space="preserve"> adjudicators need no legal qualification. Its Chief Executive, who appoints them, is appointed by the Secretary of State for the first appointment and by the Chair thereafter. Judicial review of its decisions is excluded, leaving only a one-off internal self-review and a permission-only appeal to the Upper Tribunal on points of law.</w:t>
      </w:r>
    </w:p>
    <w:p w14:paraId="1F17EF29" w14:textId="191A48AC"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Part 2: Article 8 of the European Convention on Human Rights (ECHR)</w:t>
      </w:r>
    </w:p>
    <w:p w14:paraId="743EC3CB" w14:textId="0B9FBC76" w:rsidR="00651471" w:rsidRPr="009908E8" w:rsidRDefault="0603F9AF" w:rsidP="00206F3C">
      <w:pPr>
        <w:spacing w:line="276" w:lineRule="auto"/>
        <w:jc w:val="both"/>
        <w:rPr>
          <w:rFonts w:ascii="Arial" w:eastAsia="Arial" w:hAnsi="Arial" w:cs="Arial"/>
          <w:sz w:val="22"/>
          <w:szCs w:val="22"/>
        </w:rPr>
      </w:pPr>
      <w:r w:rsidRPr="47D51BD3">
        <w:rPr>
          <w:rFonts w:ascii="Arial" w:eastAsia="Arial" w:hAnsi="Arial" w:cs="Arial"/>
          <w:sz w:val="22"/>
          <w:szCs w:val="22"/>
        </w:rPr>
        <w:t xml:space="preserve">A fixed statutory checklist replaces the current flexible test for whether family life exists at all, excluding financial dependency and emotional reliance from counting even in combination at that first stage. Family and private life formed while not having permission to stay now counts for nothing, rather than little, in </w:t>
      </w:r>
      <w:r w:rsidR="007F0EC4">
        <w:rPr>
          <w:rFonts w:ascii="Arial" w:eastAsia="Arial" w:hAnsi="Arial" w:cs="Arial"/>
          <w:sz w:val="22"/>
          <w:szCs w:val="22"/>
        </w:rPr>
        <w:t>a proportionality assessment</w:t>
      </w:r>
      <w:r w:rsidRPr="47D51BD3">
        <w:rPr>
          <w:rFonts w:ascii="Arial" w:eastAsia="Arial" w:hAnsi="Arial" w:cs="Arial"/>
          <w:sz w:val="22"/>
          <w:szCs w:val="22"/>
        </w:rPr>
        <w:t>; family life formed on a valid but temporary visa is downgraded to little weight for the first time. The public interest test now also asks whether a person is likely to remain financially independent in the long term, a forward-looking prediction with no stated method for how it will be assessed. For children, an open reasonableness assessment is replaced by a closed list of three conditions, plus an undefined requirement to show separation would cause "a very significant and long-lasting adverse effect”. The deportation test is extended, without a sentence threshold, to anyone the Secretary of State decides it is conducive to the public good to deport.</w:t>
      </w:r>
    </w:p>
    <w:p w14:paraId="26EA4306" w14:textId="5AB0B75B"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 xml:space="preserve">Part 3: Protection status and asylum </w:t>
      </w:r>
    </w:p>
    <w:p w14:paraId="041A15D3" w14:textId="38778A7D" w:rsidR="00651471" w:rsidRPr="009908E8" w:rsidRDefault="0603F9AF" w:rsidP="00206F3C">
      <w:pPr>
        <w:spacing w:line="276" w:lineRule="auto"/>
        <w:jc w:val="both"/>
        <w:rPr>
          <w:rFonts w:ascii="Arial" w:eastAsia="Arial" w:hAnsi="Arial" w:cs="Arial"/>
          <w:sz w:val="22"/>
          <w:szCs w:val="22"/>
        </w:rPr>
      </w:pPr>
      <w:r w:rsidRPr="47D51BD3">
        <w:rPr>
          <w:rFonts w:ascii="Arial" w:eastAsia="Arial" w:hAnsi="Arial" w:cs="Arial"/>
          <w:sz w:val="22"/>
          <w:szCs w:val="22"/>
        </w:rPr>
        <w:t>Refugee status and humanitarian protection are to be replaced by a single “core protection” status, with the actual eligibility criteria left to regulations the Secretary of State has not yet published, and which may be defined without reference to the tests that exist today. Separately, a security or serious crime finding strips a person of "lawfully staying" status, which gives a refugee the right to work, get housing, access welfare, and hold a travel document, not just protection from removal.</w:t>
      </w:r>
    </w:p>
    <w:p w14:paraId="77C3EE8E" w14:textId="2B5CDA47"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Part 4: Asylum Support</w:t>
      </w:r>
    </w:p>
    <w:p w14:paraId="32A3B28D" w14:textId="187C8DCC" w:rsidR="00651471" w:rsidRPr="009908E8" w:rsidRDefault="0603F9AF" w:rsidP="00206F3C">
      <w:pPr>
        <w:spacing w:line="276" w:lineRule="auto"/>
        <w:jc w:val="both"/>
        <w:rPr>
          <w:rFonts w:ascii="Arial" w:eastAsia="Arial" w:hAnsi="Arial" w:cs="Arial"/>
          <w:sz w:val="22"/>
          <w:szCs w:val="22"/>
        </w:rPr>
      </w:pPr>
      <w:r w:rsidRPr="47D51BD3">
        <w:rPr>
          <w:rFonts w:ascii="Arial" w:eastAsia="Arial" w:hAnsi="Arial" w:cs="Arial"/>
          <w:sz w:val="22"/>
          <w:szCs w:val="22"/>
        </w:rPr>
        <w:t>Anyone who has received asylum accommodation support can be required to repay its cost once able to do so, whether their claim was granted or refused, to a flat rate expected around £10,000, with the full amount required to be cleared before a person becomes eligible for settlement. The only</w:t>
      </w:r>
      <w:r w:rsidR="66AB1D2E" w:rsidRPr="47D51BD3">
        <w:rPr>
          <w:rFonts w:ascii="Arial" w:eastAsia="Arial" w:hAnsi="Arial" w:cs="Arial"/>
          <w:sz w:val="22"/>
          <w:szCs w:val="22"/>
        </w:rPr>
        <w:t>, insufficient,</w:t>
      </w:r>
      <w:r w:rsidRPr="47D51BD3">
        <w:rPr>
          <w:rFonts w:ascii="Arial" w:eastAsia="Arial" w:hAnsi="Arial" w:cs="Arial"/>
          <w:sz w:val="22"/>
          <w:szCs w:val="22"/>
        </w:rPr>
        <w:t xml:space="preserve"> safeguard is that payment cannot be required if it would cause destitution, an incredibly low threshold already used to justify support of as little as £7 a day.</w:t>
      </w:r>
    </w:p>
    <w:p w14:paraId="4D059387" w14:textId="7DC64D5E"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Part 5: Modern slavery</w:t>
      </w:r>
    </w:p>
    <w:p w14:paraId="5A472EA9" w14:textId="5EF07A0D" w:rsidR="00051794" w:rsidRPr="009908E8" w:rsidRDefault="0603F9AF" w:rsidP="00614733">
      <w:pPr>
        <w:spacing w:line="276" w:lineRule="auto"/>
        <w:jc w:val="both"/>
        <w:rPr>
          <w:rFonts w:ascii="Arial" w:eastAsia="Arial" w:hAnsi="Arial" w:cs="Arial"/>
          <w:sz w:val="22"/>
          <w:szCs w:val="22"/>
        </w:rPr>
      </w:pPr>
      <w:r w:rsidRPr="47D51BD3">
        <w:rPr>
          <w:rFonts w:ascii="Arial" w:eastAsia="Arial" w:hAnsi="Arial" w:cs="Arial"/>
          <w:sz w:val="22"/>
          <w:szCs w:val="22"/>
        </w:rPr>
        <w:t>Delay in disclosing exploitation is to be treated as damaging a survivor's credibility unless good reasons, not yet defined, are shown. Support ends immediately on a negative decision, even though such decisions are frequently overturned on reconsideration. The duty to grant leave to remain to assist recovery is removed outright. Two different disqualification grounds, on the same page of the Bill, exempt children on inconsistent tests. A child recognised as a trafficking victim is fully exempt from disqualification for bad faith, however some children can still lose protection based only on how they came to be in the UK.</w:t>
      </w:r>
    </w:p>
    <w:p w14:paraId="08ACA578" w14:textId="20C3F47D" w:rsidR="00651471" w:rsidRPr="009908E8" w:rsidRDefault="0603F9AF" w:rsidP="1B9E9B8D">
      <w:pPr>
        <w:pStyle w:val="ListParagraph"/>
        <w:numPr>
          <w:ilvl w:val="0"/>
          <w:numId w:val="18"/>
        </w:numPr>
        <w:rPr>
          <w:rFonts w:ascii="Arial" w:eastAsia="Arial" w:hAnsi="Arial" w:cs="Arial"/>
          <w:b/>
          <w:color w:val="404A68"/>
          <w:sz w:val="22"/>
          <w:szCs w:val="22"/>
        </w:rPr>
      </w:pPr>
      <w:r w:rsidRPr="47D51BD3">
        <w:rPr>
          <w:rFonts w:ascii="Arial" w:eastAsia="Arial" w:hAnsi="Arial" w:cs="Arial"/>
          <w:b/>
          <w:color w:val="404A68"/>
          <w:sz w:val="22"/>
          <w:szCs w:val="22"/>
        </w:rPr>
        <w:t>Earned Settlement, and how it compounds with this Bill</w:t>
      </w:r>
    </w:p>
    <w:p w14:paraId="6254A46A" w14:textId="36FA57F3" w:rsidR="00651471" w:rsidRPr="009908E8" w:rsidRDefault="0603F9AF" w:rsidP="00DB62D6">
      <w:pPr>
        <w:spacing w:line="276" w:lineRule="auto"/>
        <w:jc w:val="both"/>
        <w:rPr>
          <w:rFonts w:ascii="Arial" w:eastAsia="Arial" w:hAnsi="Arial" w:cs="Arial"/>
          <w:sz w:val="22"/>
          <w:szCs w:val="22"/>
        </w:rPr>
      </w:pPr>
      <w:r w:rsidRPr="47D51BD3">
        <w:rPr>
          <w:rFonts w:ascii="Arial" w:eastAsia="Arial" w:hAnsi="Arial" w:cs="Arial"/>
          <w:sz w:val="22"/>
          <w:szCs w:val="22"/>
        </w:rPr>
        <w:t>Earned Settlement is a separate government reform, not contained in this Bill, that once introduced, would lengthen the standard qualifying period for indefinite leave to remain from five years to ten for most routes, with a shorter path available only to people who can demonstrate defined “contributions.”</w:t>
      </w:r>
      <w:bookmarkStart w:id="2" w:name="_Ref234407978"/>
      <w:r w:rsidR="00651471" w:rsidRPr="47D51BD3">
        <w:rPr>
          <w:rStyle w:val="FootnoteReference"/>
          <w:rFonts w:ascii="Arial" w:eastAsia="Arial" w:hAnsi="Arial" w:cs="Arial"/>
          <w:sz w:val="22"/>
          <w:szCs w:val="22"/>
        </w:rPr>
        <w:footnoteReference w:id="6"/>
      </w:r>
      <w:bookmarkEnd w:id="2"/>
      <w:r w:rsidRPr="47D51BD3">
        <w:rPr>
          <w:rFonts w:ascii="Arial" w:eastAsia="Arial" w:hAnsi="Arial" w:cs="Arial"/>
          <w:sz w:val="22"/>
          <w:szCs w:val="22"/>
        </w:rPr>
        <w:t xml:space="preserve"> It sits alongside a further change in force since 2 March 2026, whereby most new refugees receive 30 months' leave, reviewed repeatedly, rather than five years' leave with a clearer route to settlement.</w:t>
      </w:r>
      <w:r w:rsidR="00651471" w:rsidRPr="47D51BD3">
        <w:rPr>
          <w:rStyle w:val="FootnoteReference"/>
          <w:rFonts w:ascii="Arial" w:eastAsia="Arial" w:hAnsi="Arial" w:cs="Arial"/>
          <w:sz w:val="22"/>
          <w:szCs w:val="22"/>
        </w:rPr>
        <w:footnoteReference w:id="7"/>
      </w:r>
      <w:r w:rsidRPr="47D51BD3">
        <w:rPr>
          <w:rFonts w:ascii="Arial" w:eastAsia="Arial" w:hAnsi="Arial" w:cs="Arial"/>
          <w:sz w:val="22"/>
          <w:szCs w:val="22"/>
        </w:rPr>
        <w:t xml:space="preserve"> Refugees would face a baseline wait of twenty years</w:t>
      </w:r>
      <w:r w:rsidR="2C70741A" w:rsidRPr="47D51BD3">
        <w:rPr>
          <w:rFonts w:ascii="Arial" w:eastAsia="Arial" w:hAnsi="Arial" w:cs="Arial"/>
          <w:sz w:val="22"/>
          <w:szCs w:val="22"/>
        </w:rPr>
        <w:t xml:space="preserve"> under Earned</w:t>
      </w:r>
      <w:r w:rsidR="700FCA7D" w:rsidRPr="47D51BD3">
        <w:rPr>
          <w:rFonts w:ascii="Arial" w:eastAsia="Arial" w:hAnsi="Arial" w:cs="Arial"/>
          <w:sz w:val="22"/>
          <w:szCs w:val="22"/>
        </w:rPr>
        <w:t xml:space="preserve"> Settlement</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8"/>
      </w:r>
    </w:p>
    <w:p w14:paraId="64345CB5" w14:textId="03A9CD93" w:rsidR="00651471" w:rsidRPr="009908E8" w:rsidRDefault="42BE1142" w:rsidP="00DB62D6">
      <w:pPr>
        <w:spacing w:line="276" w:lineRule="auto"/>
        <w:jc w:val="both"/>
        <w:rPr>
          <w:rFonts w:ascii="Arial" w:eastAsia="Arial" w:hAnsi="Arial" w:cs="Arial"/>
          <w:sz w:val="22"/>
          <w:szCs w:val="22"/>
        </w:rPr>
      </w:pPr>
      <w:r w:rsidRPr="47D51BD3">
        <w:rPr>
          <w:rFonts w:ascii="Arial" w:eastAsia="Arial" w:hAnsi="Arial" w:cs="Arial"/>
          <w:sz w:val="22"/>
          <w:szCs w:val="22"/>
        </w:rPr>
        <w:t>Arguably, t</w:t>
      </w:r>
      <w:r w:rsidR="0603F9AF" w:rsidRPr="47D51BD3">
        <w:rPr>
          <w:rFonts w:ascii="Arial" w:eastAsia="Arial" w:hAnsi="Arial" w:cs="Arial"/>
          <w:sz w:val="22"/>
          <w:szCs w:val="22"/>
        </w:rPr>
        <w:t xml:space="preserve">hese changes were not designed with this Bill in mind, but they interact with it directly. For as long as a person remains short of settlement, their status is “precarious” in law; that applies to refugees, people on a work visa, or on a study visa. </w:t>
      </w:r>
    </w:p>
    <w:p w14:paraId="47D582AA" w14:textId="004B1A50" w:rsidR="00651471" w:rsidRPr="009908E8" w:rsidRDefault="0603F9AF" w:rsidP="00DB62D6">
      <w:pPr>
        <w:spacing w:line="276" w:lineRule="auto"/>
        <w:jc w:val="both"/>
        <w:rPr>
          <w:rFonts w:ascii="Arial" w:eastAsia="Arial" w:hAnsi="Arial" w:cs="Arial"/>
          <w:sz w:val="22"/>
          <w:szCs w:val="22"/>
        </w:rPr>
      </w:pPr>
      <w:r w:rsidRPr="47D51BD3">
        <w:rPr>
          <w:rFonts w:ascii="Arial" w:eastAsia="Arial" w:hAnsi="Arial" w:cs="Arial"/>
          <w:sz w:val="22"/>
          <w:szCs w:val="22"/>
        </w:rPr>
        <w:t>Under Part 2, family life formed during precarious status now counts for only little weight in any decision engaging Article 8, for the first time. Under Part 4, the full asylum support debt must be repaid before settlement is reached at all, meaning financial capacity, not time spent building a life in the UK, increasingly determines how quickly a person can reach permanent status.</w:t>
      </w:r>
    </w:p>
    <w:p w14:paraId="141F449B" w14:textId="379BD3B7" w:rsidR="00051794" w:rsidRPr="009908E8" w:rsidRDefault="0603F9AF" w:rsidP="00DB62D6">
      <w:pPr>
        <w:spacing w:line="276" w:lineRule="auto"/>
        <w:jc w:val="both"/>
        <w:rPr>
          <w:rFonts w:ascii="Arial" w:eastAsia="Arial" w:hAnsi="Arial" w:cs="Arial"/>
          <w:sz w:val="22"/>
          <w:szCs w:val="22"/>
        </w:rPr>
      </w:pPr>
      <w:r w:rsidRPr="47D51BD3">
        <w:rPr>
          <w:rFonts w:ascii="Arial" w:eastAsia="Arial" w:hAnsi="Arial" w:cs="Arial"/>
          <w:sz w:val="22"/>
          <w:szCs w:val="22"/>
        </w:rPr>
        <w:t>This situation is made worse still. Earned Settlement's suitability requirement would bar anyone with current litigation, NHS, tax, or other government debt from qualifying for settlement at all.</w:t>
      </w:r>
      <w:r w:rsidR="00651471" w:rsidRPr="47D51BD3">
        <w:rPr>
          <w:rStyle w:val="FootnoteReference"/>
          <w:rFonts w:ascii="Arial" w:eastAsia="Arial" w:hAnsi="Arial" w:cs="Arial"/>
          <w:sz w:val="22"/>
          <w:szCs w:val="22"/>
        </w:rPr>
        <w:footnoteReference w:id="9"/>
      </w:r>
      <w:r w:rsidRPr="47D51BD3">
        <w:rPr>
          <w:rFonts w:ascii="Arial" w:eastAsia="Arial" w:hAnsi="Arial" w:cs="Arial"/>
          <w:sz w:val="22"/>
          <w:szCs w:val="22"/>
        </w:rPr>
        <w:t xml:space="preserve"> An outstanding Part 4 repayment would fall within this bar, meaning a person could remain ineligible for settlement because they still owe the state money for </w:t>
      </w:r>
      <w:proofErr w:type="gramStart"/>
      <w:r w:rsidRPr="47D51BD3">
        <w:rPr>
          <w:rFonts w:ascii="Arial" w:eastAsia="Arial" w:hAnsi="Arial" w:cs="Arial"/>
          <w:sz w:val="22"/>
          <w:szCs w:val="22"/>
        </w:rPr>
        <w:t>support</w:t>
      </w:r>
      <w:proofErr w:type="gramEnd"/>
      <w:r w:rsidRPr="47D51BD3">
        <w:rPr>
          <w:rFonts w:ascii="Arial" w:eastAsia="Arial" w:hAnsi="Arial" w:cs="Arial"/>
          <w:sz w:val="22"/>
          <w:szCs w:val="22"/>
        </w:rPr>
        <w:t xml:space="preserve"> they needed, while they were banned from working and while their claim took years to be decided. This is a </w:t>
      </w:r>
      <w:r w:rsidR="4EF61FB3" w:rsidRPr="47D51BD3">
        <w:rPr>
          <w:rFonts w:ascii="Arial" w:eastAsia="Arial" w:hAnsi="Arial" w:cs="Arial"/>
          <w:sz w:val="22"/>
          <w:szCs w:val="22"/>
        </w:rPr>
        <w:t>more significant barrier</w:t>
      </w:r>
      <w:r w:rsidRPr="47D51BD3">
        <w:rPr>
          <w:rFonts w:ascii="Arial" w:eastAsia="Arial" w:hAnsi="Arial" w:cs="Arial"/>
          <w:sz w:val="22"/>
          <w:szCs w:val="22"/>
        </w:rPr>
        <w:t xml:space="preserve"> than a weighing factor, as it </w:t>
      </w:r>
      <w:r w:rsidR="3F809BEF" w:rsidRPr="47D51BD3">
        <w:rPr>
          <w:rFonts w:ascii="Arial" w:eastAsia="Arial" w:hAnsi="Arial" w:cs="Arial"/>
          <w:sz w:val="22"/>
          <w:szCs w:val="22"/>
        </w:rPr>
        <w:t>can</w:t>
      </w:r>
      <w:r w:rsidRPr="47D51BD3">
        <w:rPr>
          <w:rFonts w:ascii="Arial" w:eastAsia="Arial" w:hAnsi="Arial" w:cs="Arial"/>
          <w:sz w:val="22"/>
          <w:szCs w:val="22"/>
        </w:rPr>
        <w:t xml:space="preserve"> exclud</w:t>
      </w:r>
      <w:r w:rsidR="3F809BEF" w:rsidRPr="47D51BD3">
        <w:rPr>
          <w:rFonts w:ascii="Arial" w:eastAsia="Arial" w:hAnsi="Arial" w:cs="Arial"/>
          <w:sz w:val="22"/>
          <w:szCs w:val="22"/>
        </w:rPr>
        <w:t>e</w:t>
      </w:r>
      <w:r w:rsidRPr="47D51BD3">
        <w:rPr>
          <w:rFonts w:ascii="Arial" w:eastAsia="Arial" w:hAnsi="Arial" w:cs="Arial"/>
          <w:sz w:val="22"/>
          <w:szCs w:val="22"/>
        </w:rPr>
        <w:t xml:space="preserve"> someone from settlement outright until the debt is cleared, regardless of how long they have lived in the UK or how integrated they are.</w:t>
      </w:r>
    </w:p>
    <w:p w14:paraId="2F8306CC" w14:textId="6CAD42CB" w:rsidR="00651471" w:rsidRPr="009908E8" w:rsidRDefault="0603F9AF" w:rsidP="00DB62D6">
      <w:pPr>
        <w:spacing w:line="276" w:lineRule="auto"/>
        <w:jc w:val="both"/>
        <w:rPr>
          <w:rFonts w:ascii="Arial" w:eastAsia="Arial" w:hAnsi="Arial" w:cs="Arial"/>
          <w:sz w:val="22"/>
          <w:szCs w:val="22"/>
        </w:rPr>
      </w:pPr>
      <w:r w:rsidRPr="47D51BD3">
        <w:rPr>
          <w:rFonts w:ascii="Arial" w:eastAsia="Arial" w:hAnsi="Arial" w:cs="Arial"/>
          <w:sz w:val="22"/>
          <w:szCs w:val="22"/>
        </w:rPr>
        <w:t>The cumulative impact of this Bill needs to be read against these wider changes. Someone seeking protection or a settled life in the UK today faces a shorter initial grant of status if recognised as a refugee, a much longer and repeatedly reviewed path to settlement, a narrower test for what even counts as family life, and a family reunion route that has been switched off entirely. If they are a survivor of trafficking, they also face a credibility regime that penalises not disclosing their trauma as soon as possible. If any of this is disputed, they face a weaker and less independent appeals system to challenge it. Parliament is being asked to debate this Bill without clear sight of how it interacts with these wider changes, none of which have been brought before it alongside the Bill itself.</w:t>
      </w:r>
    </w:p>
    <w:p w14:paraId="0A81211A" w14:textId="14E6D81E" w:rsidR="00651471" w:rsidRPr="009908E8" w:rsidRDefault="00651471" w:rsidP="1B9E9B8D">
      <w:pPr>
        <w:spacing w:line="276" w:lineRule="auto"/>
        <w:rPr>
          <w:rFonts w:ascii="Arial" w:eastAsia="Arial" w:hAnsi="Arial" w:cs="Arial"/>
          <w:b/>
          <w:color w:val="404A68"/>
          <w:sz w:val="22"/>
          <w:szCs w:val="22"/>
        </w:rPr>
      </w:pPr>
    </w:p>
    <w:p w14:paraId="1AD7C49D" w14:textId="7B824065"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Part 1</w:t>
      </w:r>
      <w:r w:rsidR="418CC392" w:rsidRPr="47D51BD3">
        <w:rPr>
          <w:rFonts w:ascii="Arial" w:eastAsia="Arial" w:hAnsi="Arial" w:cs="Arial"/>
          <w:b/>
          <w:color w:val="404A68"/>
          <w:sz w:val="22"/>
          <w:szCs w:val="22"/>
        </w:rPr>
        <w:t>:</w:t>
      </w:r>
      <w:r w:rsidRPr="47D51BD3">
        <w:rPr>
          <w:rFonts w:ascii="Arial" w:eastAsia="Arial" w:hAnsi="Arial" w:cs="Arial"/>
          <w:b/>
          <w:color w:val="404A68"/>
          <w:sz w:val="22"/>
          <w:szCs w:val="22"/>
        </w:rPr>
        <w:t xml:space="preserve"> T</w:t>
      </w:r>
      <w:r w:rsidR="14528C16" w:rsidRPr="47D51BD3">
        <w:rPr>
          <w:rFonts w:ascii="Arial" w:eastAsia="Arial" w:hAnsi="Arial" w:cs="Arial"/>
          <w:b/>
          <w:color w:val="404A68"/>
          <w:sz w:val="22"/>
          <w:szCs w:val="22"/>
        </w:rPr>
        <w:t>he Independent Immigration Appeals Authority</w:t>
      </w:r>
    </w:p>
    <w:p w14:paraId="3F8ADAD2" w14:textId="51C3941A" w:rsidR="00204304"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What Part 1 does</w:t>
      </w:r>
    </w:p>
    <w:p w14:paraId="65ED1A2E" w14:textId="7CEFC836" w:rsidR="00651471" w:rsidRPr="009908E8" w:rsidRDefault="0603F9AF" w:rsidP="00C70D98">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Part 1 abolishes the First-tier Tribunal's role as the primary forum for asylum, human rights, deprivation-of-citizenship and related immigration appeals, and replaces it with a new body corporate: the Independent Immigration Appeals Authority (IIAA).</w:t>
      </w:r>
      <w:bookmarkStart w:id="3" w:name="_Ref234322051"/>
      <w:r w:rsidR="00651471" w:rsidRPr="47D51BD3">
        <w:rPr>
          <w:rStyle w:val="FootnoteReference"/>
          <w:rFonts w:ascii="Arial" w:eastAsia="Arial" w:hAnsi="Arial" w:cs="Arial"/>
          <w:sz w:val="22"/>
          <w:szCs w:val="22"/>
        </w:rPr>
        <w:footnoteReference w:id="10"/>
      </w:r>
      <w:bookmarkEnd w:id="3"/>
      <w:r w:rsidRPr="47D51BD3">
        <w:rPr>
          <w:rFonts w:ascii="Arial" w:eastAsia="Arial" w:hAnsi="Arial" w:cs="Arial"/>
          <w:sz w:val="22"/>
          <w:szCs w:val="22"/>
        </w:rPr>
        <w:t xml:space="preserve"> The IIAA takes over protection and human rights appeals (the bulk of the caseload), certain immigration bail applications, deprivation-of-citizenship appeals, and residual EEA/EU-exit citizens' rights appeals (s.1(2)); Schedule 1 makes the mechanical transfer of these functions from the First-tier Tribunal across the existing statute book.</w:t>
      </w:r>
      <w:r w:rsidR="00651471" w:rsidRPr="47D51BD3">
        <w:rPr>
          <w:rStyle w:val="FootnoteReference"/>
          <w:rFonts w:ascii="Arial" w:eastAsia="Arial" w:hAnsi="Arial" w:cs="Arial"/>
          <w:sz w:val="22"/>
          <w:szCs w:val="22"/>
        </w:rPr>
        <w:footnoteReference w:id="11"/>
      </w:r>
      <w:r w:rsidR="001349EB">
        <w:br/>
      </w:r>
    </w:p>
    <w:p w14:paraId="54124D52" w14:textId="751F7723" w:rsidR="00651471" w:rsidRPr="009908E8" w:rsidRDefault="0603F9AF" w:rsidP="008A38CF">
      <w:pPr>
        <w:rPr>
          <w:rFonts w:ascii="Arial" w:eastAsia="Arial" w:hAnsi="Arial" w:cs="Arial"/>
          <w:sz w:val="22"/>
          <w:szCs w:val="22"/>
        </w:rPr>
      </w:pPr>
      <w:r w:rsidRPr="47D51BD3">
        <w:rPr>
          <w:rFonts w:ascii="Arial" w:eastAsia="Arial" w:hAnsi="Arial" w:cs="Arial"/>
          <w:b/>
          <w:color w:val="404A68"/>
          <w:sz w:val="22"/>
          <w:szCs w:val="22"/>
        </w:rPr>
        <w:t>Why Part 1 of the Bill will not achieve stated policy aims</w:t>
      </w:r>
      <w:r w:rsidRPr="47D51BD3">
        <w:rPr>
          <w:rFonts w:ascii="Arial" w:eastAsia="Arial" w:hAnsi="Arial" w:cs="Arial"/>
          <w:sz w:val="22"/>
          <w:szCs w:val="22"/>
        </w:rPr>
        <w:t xml:space="preserve"> </w:t>
      </w:r>
      <w:r w:rsidR="00651471">
        <w:br/>
      </w:r>
    </w:p>
    <w:p w14:paraId="5D2D313B" w14:textId="6F0380BC" w:rsidR="00651471" w:rsidRPr="009908E8" w:rsidRDefault="0603F9AF" w:rsidP="00C70D98">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 claim that the appeals process is the cause of delay in Home Office processing of immigration and asylum cases is unsubstantiated. As is the claim that appeals process is being abused: it is available only to those with protection or human rights claims, people whose removal could mean return to persecution, torture, or the permanent separation of families. Independent judicial oversight is not an obstacle to an effective immigration system, but what makes the system safe and legitimate. The consequences of poor decision making, without an effective remedy</w:t>
      </w:r>
      <w:r w:rsidR="36C98E4E" w:rsidRPr="47D51BD3">
        <w:rPr>
          <w:rFonts w:ascii="Arial" w:eastAsia="Arial" w:hAnsi="Arial" w:cs="Arial"/>
          <w:sz w:val="22"/>
          <w:szCs w:val="22"/>
        </w:rPr>
        <w:t>,</w:t>
      </w:r>
      <w:r w:rsidRPr="47D51BD3">
        <w:rPr>
          <w:rFonts w:ascii="Arial" w:eastAsia="Arial" w:hAnsi="Arial" w:cs="Arial"/>
          <w:sz w:val="22"/>
          <w:szCs w:val="22"/>
        </w:rPr>
        <w:t xml:space="preserve"> are irreversible. </w:t>
      </w:r>
    </w:p>
    <w:p w14:paraId="29C69A99" w14:textId="77777777" w:rsidR="00651471" w:rsidRPr="009908E8" w:rsidRDefault="0603F9AF" w:rsidP="00C70D98">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 Government has justified the Bill by asserting that people are "gaming the system, lodging vexatious appeals to frustrate their removal."</w:t>
      </w:r>
      <w:r w:rsidR="00651471" w:rsidRPr="47D51BD3">
        <w:rPr>
          <w:rStyle w:val="FootnoteReference"/>
          <w:rFonts w:ascii="Arial" w:eastAsia="Arial" w:hAnsi="Arial" w:cs="Arial"/>
          <w:sz w:val="22"/>
          <w:szCs w:val="22"/>
        </w:rPr>
        <w:footnoteReference w:id="12"/>
      </w:r>
      <w:r w:rsidRPr="47D51BD3">
        <w:rPr>
          <w:rFonts w:ascii="Arial" w:eastAsia="Arial" w:hAnsi="Arial" w:cs="Arial"/>
          <w:sz w:val="22"/>
          <w:szCs w:val="22"/>
        </w:rPr>
        <w:t xml:space="preserve"> ILPA has seen no evidence for this claim. The evidence consistently identifies two primary drivers of delay: the poor quality of initial Home Office decision-making, and the severe shortage of immigration and asylum legal aid provision.</w:t>
      </w:r>
      <w:r w:rsidR="00651471" w:rsidRPr="47D51BD3">
        <w:rPr>
          <w:rStyle w:val="FootnoteReference"/>
          <w:rFonts w:ascii="Arial" w:eastAsia="Arial" w:hAnsi="Arial" w:cs="Arial"/>
          <w:sz w:val="22"/>
          <w:szCs w:val="22"/>
        </w:rPr>
        <w:footnoteReference w:id="13"/>
      </w:r>
    </w:p>
    <w:p w14:paraId="4325A437" w14:textId="77777777" w:rsidR="00651471" w:rsidRPr="009908E8" w:rsidRDefault="0603F9AF" w:rsidP="00C70D98">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 National Audit Office's Analysis of the asylum system, published in December 2025, found that 42% of sampled Home Office asylum decisions in the rolling twelve months to May 2025 had significant or fail errors.</w:t>
      </w:r>
      <w:r w:rsidR="00651471" w:rsidRPr="47D51BD3">
        <w:rPr>
          <w:rStyle w:val="FootnoteReference"/>
          <w:rFonts w:ascii="Arial" w:eastAsia="Arial" w:hAnsi="Arial" w:cs="Arial"/>
          <w:sz w:val="22"/>
          <w:szCs w:val="22"/>
        </w:rPr>
        <w:footnoteReference w:id="14"/>
      </w:r>
      <w:r w:rsidRPr="47D51BD3">
        <w:rPr>
          <w:rFonts w:ascii="Arial" w:eastAsia="Arial" w:hAnsi="Arial" w:cs="Arial"/>
          <w:sz w:val="22"/>
          <w:szCs w:val="22"/>
        </w:rPr>
        <w:t xml:space="preserve"> Only 52% of Home Office asylum decisions met the department's own internal quality standards in the year ending 2024.</w:t>
      </w:r>
      <w:r w:rsidR="00651471" w:rsidRPr="47D51BD3">
        <w:rPr>
          <w:rStyle w:val="FootnoteReference"/>
          <w:rFonts w:ascii="Arial" w:eastAsia="Arial" w:hAnsi="Arial" w:cs="Arial"/>
          <w:sz w:val="22"/>
          <w:szCs w:val="22"/>
        </w:rPr>
        <w:footnoteReference w:id="15"/>
      </w:r>
      <w:r w:rsidRPr="47D51BD3">
        <w:rPr>
          <w:rFonts w:ascii="Arial" w:eastAsia="Arial" w:hAnsi="Arial" w:cs="Arial"/>
          <w:sz w:val="22"/>
          <w:szCs w:val="22"/>
        </w:rPr>
        <w:t xml:space="preserve"> In the quarter July to September 2025, 39% of determined appeals were allowed, and 37% of all case disposals were withdrawals, many of which occurred because the Home Office was unable to defend its own decision.</w:t>
      </w:r>
      <w:r w:rsidR="00651471" w:rsidRPr="47D51BD3">
        <w:rPr>
          <w:rStyle w:val="FootnoteReference"/>
          <w:rFonts w:ascii="Arial" w:eastAsia="Arial" w:hAnsi="Arial" w:cs="Arial"/>
          <w:sz w:val="22"/>
          <w:szCs w:val="22"/>
        </w:rPr>
        <w:footnoteReference w:id="16"/>
      </w:r>
      <w:r w:rsidRPr="47D51BD3">
        <w:rPr>
          <w:rFonts w:ascii="Arial" w:eastAsia="Arial" w:hAnsi="Arial" w:cs="Arial"/>
          <w:sz w:val="22"/>
          <w:szCs w:val="22"/>
        </w:rPr>
        <w:t xml:space="preserve"> ILPA members have provided us with many examples of casework, where initial refusals have been overturned on appeal following proper legal preparation and scrutiny - consistent with the broader picture: 36% of determined appeals are successful, rising to as much as 66% once Home Office reconsiderations are included.</w:t>
      </w:r>
      <w:r w:rsidR="00651471" w:rsidRPr="47D51BD3">
        <w:rPr>
          <w:rStyle w:val="FootnoteReference"/>
          <w:rFonts w:ascii="Arial" w:eastAsia="Arial" w:hAnsi="Arial" w:cs="Arial"/>
          <w:sz w:val="22"/>
          <w:szCs w:val="22"/>
        </w:rPr>
        <w:footnoteReference w:id="17"/>
      </w:r>
    </w:p>
    <w:p w14:paraId="1619BA82" w14:textId="77777777"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As the Home Affairs Committee noted as far back as 2003, the real flaws in the system appear to be at the stage of initial decision-making, not that of appeal.</w:t>
      </w:r>
      <w:r w:rsidR="00651471" w:rsidRPr="47D51BD3">
        <w:rPr>
          <w:rStyle w:val="FootnoteReference"/>
          <w:rFonts w:ascii="Arial" w:eastAsia="Arial" w:hAnsi="Arial" w:cs="Arial"/>
          <w:sz w:val="22"/>
          <w:szCs w:val="22"/>
        </w:rPr>
        <w:footnoteReference w:id="18"/>
      </w:r>
      <w:r w:rsidRPr="47D51BD3">
        <w:rPr>
          <w:rFonts w:ascii="Arial" w:eastAsia="Arial" w:hAnsi="Arial" w:cs="Arial"/>
          <w:sz w:val="22"/>
          <w:szCs w:val="22"/>
        </w:rPr>
        <w:t xml:space="preserve"> More than twenty years on, that conclusion remains as pertinent as ever. If the quality of the initial decision making were to improve, cases would not have to proceed to appeal, reducing the burden on the tribunal and the time it takes to resolve an application.</w:t>
      </w:r>
    </w:p>
    <w:p w14:paraId="7414CF9C" w14:textId="2C055717"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Properly funded legal aid is needed so that applicants have the help they need to ensure they fully </w:t>
      </w:r>
      <w:r w:rsidR="72383D10" w:rsidRPr="47D51BD3">
        <w:rPr>
          <w:rFonts w:ascii="Arial" w:eastAsia="Arial" w:hAnsi="Arial" w:cs="Arial"/>
          <w:sz w:val="22"/>
          <w:szCs w:val="22"/>
        </w:rPr>
        <w:t>collect and present</w:t>
      </w:r>
      <w:r w:rsidRPr="47D51BD3">
        <w:rPr>
          <w:rFonts w:ascii="Arial" w:eastAsia="Arial" w:hAnsi="Arial" w:cs="Arial"/>
          <w:sz w:val="22"/>
          <w:szCs w:val="22"/>
        </w:rPr>
        <w:t xml:space="preserve"> the issues the decision maker needs to engage with. </w:t>
      </w:r>
      <w:r w:rsidR="53D38318" w:rsidRPr="47D51BD3">
        <w:rPr>
          <w:rFonts w:ascii="Arial" w:eastAsia="Arial" w:hAnsi="Arial" w:cs="Arial"/>
          <w:sz w:val="22"/>
          <w:szCs w:val="22"/>
        </w:rPr>
        <w:t>When people are not represented, they struggle to explain the issues the decision maker needs to consider. They struggle to obtain the evidence needed to enable the decision maker to make properly considered decision.</w:t>
      </w:r>
      <w:r w:rsidR="058857BF" w:rsidRPr="47D51BD3">
        <w:rPr>
          <w:rFonts w:ascii="Arial" w:eastAsia="Arial" w:hAnsi="Arial" w:cs="Arial"/>
          <w:sz w:val="22"/>
          <w:szCs w:val="22"/>
        </w:rPr>
        <w:t xml:space="preserve"> </w:t>
      </w:r>
      <w:r w:rsidRPr="47D51BD3">
        <w:rPr>
          <w:rFonts w:ascii="Arial" w:eastAsia="Arial" w:hAnsi="Arial" w:cs="Arial"/>
          <w:sz w:val="22"/>
          <w:szCs w:val="22"/>
        </w:rPr>
        <w:t>The 30% fee increase introduced in December 2025, although welcome, applies only to new cases and was not backdated, against a fee structure unchanged since 1996 and cut by 10% in 2011.</w:t>
      </w:r>
      <w:r w:rsidR="00651471" w:rsidRPr="47D51BD3">
        <w:rPr>
          <w:rStyle w:val="FootnoteReference"/>
          <w:rFonts w:ascii="Arial" w:eastAsia="Arial" w:hAnsi="Arial" w:cs="Arial"/>
          <w:sz w:val="22"/>
          <w:szCs w:val="22"/>
        </w:rPr>
        <w:footnoteReference w:id="19"/>
      </w:r>
      <w:r w:rsidRPr="47D51BD3">
        <w:rPr>
          <w:rFonts w:ascii="Arial" w:eastAsia="Arial" w:hAnsi="Arial" w:cs="Arial"/>
          <w:sz w:val="22"/>
          <w:szCs w:val="22"/>
        </w:rPr>
        <w:t xml:space="preserve"> It does not address the underlying deficit of at least 57% in legal aid provision, nor provide long-term sustainability. Without this, advice deserts will persist, the number of unrepresented appellants will continue to rise, and the Bill will not achieve its stated policy aims. </w:t>
      </w:r>
    </w:p>
    <w:p w14:paraId="5D6D9153" w14:textId="647D918F"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ILPA's position</w:t>
      </w:r>
    </w:p>
    <w:p w14:paraId="25D2D757" w14:textId="3A6B47E1"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ILPA is opposed to the provisions contained in Part 1 of the Bill. They represent an unconstitutional assault on the immigration system, leaving decision-making with very limited scrutiny by the courts where people's lives and human rights are at risk. The Constitutional Reform Act 2005 and the Tribunals, Courts and Enforcement Act 2007 ("TCEA 2007") respectively enshrined judicial independence in statute and established the First-tier Tribunal and Upper Tribunal.</w:t>
      </w:r>
      <w:bookmarkStart w:id="4" w:name="_Ref234484037"/>
      <w:r w:rsidR="00651471" w:rsidRPr="47D51BD3">
        <w:rPr>
          <w:rStyle w:val="FootnoteReference"/>
          <w:rFonts w:ascii="Arial" w:eastAsia="Arial" w:hAnsi="Arial" w:cs="Arial"/>
          <w:sz w:val="22"/>
          <w:szCs w:val="22"/>
        </w:rPr>
        <w:footnoteReference w:id="20"/>
      </w:r>
      <w:bookmarkStart w:id="5" w:name="_Ref234484022"/>
      <w:bookmarkEnd w:id="4"/>
      <w:r w:rsidRPr="47D51BD3">
        <w:rPr>
          <w:rFonts w:ascii="Arial" w:eastAsia="Arial" w:hAnsi="Arial" w:cs="Arial"/>
          <w:sz w:val="22"/>
          <w:szCs w:val="22"/>
        </w:rPr>
        <w:t xml:space="preserve"> </w:t>
      </w:r>
      <w:bookmarkEnd w:id="5"/>
      <w:r w:rsidRPr="47D51BD3">
        <w:rPr>
          <w:rFonts w:ascii="Arial" w:eastAsia="Arial" w:hAnsi="Arial" w:cs="Arial"/>
          <w:sz w:val="22"/>
          <w:szCs w:val="22"/>
        </w:rPr>
        <w:t>They created the Senior President of Tribunals and provided independent rule-making powers to the Tribunal Procedure Committee. Recruitment to the tribunal judiciary is overseen by the Judicial Appointments Commission, based on statutory and non-statutory requirements, as well as necessary qualities required in any good judge. These were deliberate constitutional choices made by the UK Parliament to strengthen the separation of powers and public confidence in the appeals system. They must be retained in full. The risk of the politicisation of decision-making should be a cause of concern.</w:t>
      </w:r>
    </w:p>
    <w:p w14:paraId="249BE1F9" w14:textId="4A13B206"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1: The Independent Immigration Appeals Authority</w:t>
      </w:r>
    </w:p>
    <w:p w14:paraId="0B38DE3C" w14:textId="1BD28104"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s.1(1)-(4): it establishes the IIAA as a body corporate, legally separate from the Home Office and the courts/tribunals service. Sets out its primary function (s.1(2)), points to Schedule 1 for the transfer of functions (s.1(3)) and sets a duty to exercise its function "with a view to ensuring that justice is done" (s.1(4)). This phraseology is open to wide subjective interpretation in the context of the immigration and asylum system</w:t>
      </w:r>
      <w:r w:rsidR="69910FE4" w:rsidRPr="47D51BD3">
        <w:rPr>
          <w:rFonts w:ascii="Arial" w:eastAsia="Arial" w:hAnsi="Arial" w:cs="Arial"/>
          <w:sz w:val="22"/>
          <w:szCs w:val="22"/>
        </w:rPr>
        <w:t>,</w:t>
      </w:r>
      <w:r w:rsidRPr="47D51BD3">
        <w:rPr>
          <w:rFonts w:ascii="Arial" w:eastAsia="Arial" w:hAnsi="Arial" w:cs="Arial"/>
          <w:sz w:val="22"/>
          <w:szCs w:val="22"/>
        </w:rPr>
        <w:t xml:space="preserve"> and it</w:t>
      </w:r>
      <w:r w:rsidR="00F536D6">
        <w:rPr>
          <w:rFonts w:ascii="Arial" w:eastAsia="Arial" w:hAnsi="Arial" w:cs="Arial"/>
          <w:sz w:val="22"/>
          <w:szCs w:val="22"/>
        </w:rPr>
        <w:t xml:space="preserve"> must have regard </w:t>
      </w:r>
      <w:r w:rsidR="00A51A09">
        <w:rPr>
          <w:rFonts w:ascii="Arial" w:eastAsia="Arial" w:hAnsi="Arial" w:cs="Arial"/>
          <w:sz w:val="22"/>
          <w:szCs w:val="22"/>
        </w:rPr>
        <w:t xml:space="preserve">to UK’ international obligations </w:t>
      </w:r>
      <w:r w:rsidR="00B177DB">
        <w:rPr>
          <w:rFonts w:ascii="Arial" w:eastAsia="Arial" w:hAnsi="Arial" w:cs="Arial"/>
          <w:sz w:val="22"/>
          <w:szCs w:val="22"/>
        </w:rPr>
        <w:t>under the Refugee Convention and the ECHR</w:t>
      </w:r>
      <w:r w:rsidRPr="47D51BD3">
        <w:rPr>
          <w:rFonts w:ascii="Arial" w:eastAsia="Arial" w:hAnsi="Arial" w:cs="Arial"/>
          <w:sz w:val="22"/>
          <w:szCs w:val="22"/>
        </w:rPr>
        <w:t xml:space="preserve">. </w:t>
      </w:r>
    </w:p>
    <w:p w14:paraId="1FB24FEF" w14:textId="4AFF644F"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We note that s.1(4) does not make a direct claim that the IIAA must exercise its primary function in accordance with the law, or according to international obligations, including the European Convention on Human Rights (ECHR) and the Refugee Convention. </w:t>
      </w:r>
    </w:p>
    <w:p w14:paraId="16B136C7" w14:textId="77777777"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s.1(5)(c) - the "public interest" duty requires the IIAA to "have regard to the public interest, in particular" the fact that it is "a key part of the immigration and asylum system."</w:t>
      </w:r>
      <w:r w:rsidR="00651471" w:rsidRPr="47D51BD3">
        <w:rPr>
          <w:rStyle w:val="FootnoteReference"/>
          <w:rFonts w:ascii="Arial" w:eastAsia="Arial" w:hAnsi="Arial" w:cs="Arial"/>
          <w:sz w:val="22"/>
          <w:szCs w:val="22"/>
        </w:rPr>
        <w:footnoteReference w:id="21"/>
      </w:r>
      <w:r w:rsidRPr="47D51BD3">
        <w:rPr>
          <w:rFonts w:ascii="Arial" w:eastAsia="Arial" w:hAnsi="Arial" w:cs="Arial"/>
          <w:sz w:val="22"/>
          <w:szCs w:val="22"/>
        </w:rPr>
        <w:t xml:space="preserve"> The First-tier Tribunal’s current “overriding objective” simply requires cases to be dealt with fairly and justly.</w:t>
      </w:r>
      <w:r w:rsidR="00651471" w:rsidRPr="47D51BD3">
        <w:rPr>
          <w:rStyle w:val="FootnoteReference"/>
          <w:rFonts w:ascii="Arial" w:eastAsia="Arial" w:hAnsi="Arial" w:cs="Arial"/>
          <w:sz w:val="22"/>
          <w:szCs w:val="22"/>
        </w:rPr>
        <w:footnoteReference w:id="22"/>
      </w:r>
      <w:r w:rsidRPr="47D51BD3">
        <w:rPr>
          <w:rFonts w:ascii="Arial" w:eastAsia="Arial" w:hAnsi="Arial" w:cs="Arial"/>
          <w:sz w:val="22"/>
          <w:szCs w:val="22"/>
        </w:rPr>
        <w:t xml:space="preserve"> The Government could have transposed this directly into s1(5).</w:t>
      </w:r>
    </w:p>
    <w:p w14:paraId="278F378D" w14:textId="77777777"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Nonetheless, this echoes the Government's own description of the reforms, in which it stated that while decisions will be "fully independent," the new body will be "integrated into the immigration system to ensure cases flow through quickly to removal where appeals are unsuccessful."</w:t>
      </w:r>
      <w:r w:rsidR="00651471" w:rsidRPr="47D51BD3">
        <w:rPr>
          <w:rStyle w:val="FootnoteReference"/>
          <w:rFonts w:ascii="Arial" w:eastAsia="Arial" w:hAnsi="Arial" w:cs="Arial"/>
          <w:sz w:val="22"/>
          <w:szCs w:val="22"/>
        </w:rPr>
        <w:footnoteReference w:id="23"/>
      </w:r>
      <w:r w:rsidRPr="47D51BD3">
        <w:rPr>
          <w:rFonts w:ascii="Arial" w:eastAsia="Arial" w:hAnsi="Arial" w:cs="Arial"/>
          <w:sz w:val="22"/>
          <w:szCs w:val="22"/>
        </w:rPr>
        <w:t xml:space="preserve"> ILPA considers that this stated policy intention, now placed on a statutory footing, is not compatible with judicial independence. The Restoring Order and Control paper from November 2025 sets out two explicit objectives: reducing irregular arrivals, including through dangerous journeys, and increasing removals.</w:t>
      </w:r>
      <w:r w:rsidR="00651471" w:rsidRPr="47D51BD3">
        <w:rPr>
          <w:rStyle w:val="FootnoteReference"/>
          <w:rFonts w:ascii="Arial" w:eastAsia="Arial" w:hAnsi="Arial" w:cs="Arial"/>
          <w:sz w:val="22"/>
          <w:szCs w:val="22"/>
        </w:rPr>
        <w:footnoteReference w:id="24"/>
      </w:r>
      <w:r w:rsidRPr="47D51BD3">
        <w:rPr>
          <w:rFonts w:ascii="Arial" w:eastAsia="Arial" w:hAnsi="Arial" w:cs="Arial"/>
          <w:sz w:val="22"/>
          <w:szCs w:val="22"/>
        </w:rPr>
        <w:t xml:space="preserve"> A body designed to be integrated into a system with those stated objectives and structured to accelerate the flow of cases toward removal, raises serious questions about the institutional independence of its decision-making.</w:t>
      </w:r>
    </w:p>
    <w:p w14:paraId="3C52EC19" w14:textId="04DF24B1"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s.1(6) bars ministers from influencing individual decisions via special access to adjudicators. This is drafted quite narrowly around direct contact about a "particular decision". </w:t>
      </w:r>
    </w:p>
    <w:p w14:paraId="543846AF" w14:textId="046604B4"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s.1(7) gives the IIAA a broad, self-defined power to "do anything it considers appropriate" in connection with its primary function. s.1(8): "A decision of the IIAA in the exercise of, or in connection with, its primary function may be questioned in legal proceedings only in accordance with section 6, or section 7”. This is a broad ouster, which reaches procedural/case-management rulings, and the Explanatory Notes confirm judicial review is excluded even "on case management grounds.</w:t>
      </w:r>
      <w:bookmarkStart w:id="6" w:name="_Ref234484676"/>
      <w:r w:rsidRPr="47D51BD3">
        <w:rPr>
          <w:rFonts w:ascii="Arial" w:eastAsia="Arial" w:hAnsi="Arial" w:cs="Arial"/>
          <w:sz w:val="22"/>
          <w:szCs w:val="22"/>
        </w:rPr>
        <w:t>"</w:t>
      </w:r>
      <w:bookmarkStart w:id="7" w:name="_Ref234484475"/>
      <w:bookmarkEnd w:id="6"/>
      <w:r w:rsidR="00651471" w:rsidRPr="47D51BD3">
        <w:rPr>
          <w:rStyle w:val="FootnoteReference"/>
          <w:rFonts w:ascii="Arial" w:eastAsia="Arial" w:hAnsi="Arial" w:cs="Arial"/>
          <w:sz w:val="22"/>
          <w:szCs w:val="22"/>
        </w:rPr>
        <w:footnoteReference w:id="25"/>
      </w:r>
      <w:bookmarkEnd w:id="7"/>
    </w:p>
    <w:p w14:paraId="0DFC8BFB" w14:textId="2F350465"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This mechanism should be read alongside the Supreme Court’s reasoning in </w:t>
      </w:r>
      <w:r w:rsidRPr="47D51BD3">
        <w:rPr>
          <w:rFonts w:ascii="Arial" w:eastAsia="Arial" w:hAnsi="Arial" w:cs="Arial"/>
          <w:i/>
          <w:sz w:val="22"/>
          <w:szCs w:val="22"/>
        </w:rPr>
        <w:t>R (Privacy International) v Investigatory Powers Tribunal</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26"/>
      </w:r>
      <w:r w:rsidRPr="47D51BD3">
        <w:rPr>
          <w:rFonts w:ascii="Arial" w:eastAsia="Arial" w:hAnsi="Arial" w:cs="Arial"/>
          <w:sz w:val="22"/>
          <w:szCs w:val="22"/>
        </w:rPr>
        <w:t xml:space="preserve"> There, Lord Carnwath, for the majority, held that a clause trying to fully block the High Court's oversight might not be allowed to stand at all, because it is ultimately for the courts, not Parliament, to decide how far the rule of law lets any such block go.</w:t>
      </w:r>
      <w:r w:rsidR="00651471" w:rsidRPr="47D51BD3">
        <w:rPr>
          <w:rStyle w:val="FootnoteReference"/>
          <w:rFonts w:ascii="Arial" w:eastAsia="Arial" w:hAnsi="Arial" w:cs="Arial"/>
          <w:sz w:val="22"/>
          <w:szCs w:val="22"/>
        </w:rPr>
        <w:footnoteReference w:id="27"/>
      </w:r>
      <w:r w:rsidRPr="47D51BD3">
        <w:rPr>
          <w:rFonts w:ascii="Arial" w:eastAsia="Arial" w:hAnsi="Arial" w:cs="Arial"/>
          <w:sz w:val="22"/>
          <w:szCs w:val="22"/>
        </w:rPr>
        <w:t xml:space="preserve"> This means s.1(8) may not succeed in blocking judicial oversight the way it </w:t>
      </w:r>
      <w:r w:rsidR="132EF453" w:rsidRPr="47D51BD3">
        <w:rPr>
          <w:rFonts w:ascii="Arial" w:eastAsia="Arial" w:hAnsi="Arial" w:cs="Arial"/>
          <w:sz w:val="22"/>
          <w:szCs w:val="22"/>
        </w:rPr>
        <w:t>wishes</w:t>
      </w:r>
      <w:r w:rsidRPr="47D51BD3">
        <w:rPr>
          <w:rFonts w:ascii="Arial" w:eastAsia="Arial" w:hAnsi="Arial" w:cs="Arial"/>
          <w:sz w:val="22"/>
          <w:szCs w:val="22"/>
        </w:rPr>
        <w:t xml:space="preserve"> to.</w:t>
      </w:r>
    </w:p>
    <w:p w14:paraId="2C92DEF2" w14:textId="6638DA04"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This mechanism removes the possibility of seeking judicial review or asking the High Court to check the decision was lawful, procedurally fair, and within the body's powers. s.1(8) removes that route for the IIAA. The only available challenges are the two created by this Bill, which are self-review, and permission-only appeal to the Upper Tribunal. </w:t>
      </w:r>
    </w:p>
    <w:p w14:paraId="197FBDB0" w14:textId="3D602329"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b/>
          <w:sz w:val="22"/>
          <w:szCs w:val="22"/>
        </w:rPr>
        <w:t xml:space="preserve"> </w:t>
      </w:r>
      <w:r w:rsidRPr="47D51BD3">
        <w:rPr>
          <w:rFonts w:ascii="Arial" w:eastAsia="Arial" w:hAnsi="Arial" w:cs="Arial"/>
          <w:sz w:val="22"/>
          <w:szCs w:val="22"/>
        </w:rPr>
        <w:t>Thus,</w:t>
      </w:r>
      <w:r w:rsidRPr="47D51BD3">
        <w:rPr>
          <w:rFonts w:ascii="Arial" w:eastAsia="Arial" w:hAnsi="Arial" w:cs="Arial"/>
          <w:b/>
          <w:sz w:val="22"/>
          <w:szCs w:val="22"/>
        </w:rPr>
        <w:t xml:space="preserve"> </w:t>
      </w:r>
      <w:r w:rsidRPr="47D51BD3">
        <w:rPr>
          <w:rFonts w:ascii="Arial" w:eastAsia="Arial" w:hAnsi="Arial" w:cs="Arial"/>
          <w:sz w:val="22"/>
          <w:szCs w:val="22"/>
        </w:rPr>
        <w:t xml:space="preserve">s.1(8) expressly excludes judicial review challenges to case management decisions. The risk of mistakes at first instance and the serious consequences of wrong decisions make having these safeguards essential and removing them undermines the fairness of the appeal system. </w:t>
      </w:r>
    </w:p>
    <w:p w14:paraId="1C623B45" w14:textId="00B664AB"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We note</w:t>
      </w:r>
      <w:r w:rsidR="00FF64EB">
        <w:rPr>
          <w:rFonts w:ascii="Arial" w:eastAsia="Arial" w:hAnsi="Arial" w:cs="Arial"/>
          <w:sz w:val="22"/>
          <w:szCs w:val="22"/>
        </w:rPr>
        <w:t xml:space="preserve"> </w:t>
      </w:r>
      <w:r w:rsidR="00FF64EB" w:rsidRPr="00FF64EB">
        <w:rPr>
          <w:rFonts w:ascii="Arial" w:eastAsia="Arial" w:hAnsi="Arial" w:cs="Arial"/>
          <w:sz w:val="22"/>
          <w:szCs w:val="22"/>
        </w:rPr>
        <w:t>that s.1(8)'s exclusion of case-management decisions from any external challenge raises a question about procedural fairness. Although Article 6 ECHR does not apply to immigration decisions</w:t>
      </w:r>
      <w:r w:rsidR="00BB5F62">
        <w:rPr>
          <w:rStyle w:val="FootnoteReference"/>
          <w:rFonts w:ascii="Arial" w:eastAsia="Arial" w:hAnsi="Arial" w:cs="Arial"/>
          <w:sz w:val="22"/>
          <w:szCs w:val="22"/>
        </w:rPr>
        <w:footnoteReference w:id="28"/>
      </w:r>
      <w:r w:rsidR="00FF64EB" w:rsidRPr="00FF64EB">
        <w:rPr>
          <w:rFonts w:ascii="Arial" w:eastAsia="Arial" w:hAnsi="Arial" w:cs="Arial"/>
          <w:sz w:val="22"/>
          <w:szCs w:val="22"/>
        </w:rPr>
        <w:t>, Article 8 carries its own free-standing procedural requirements, including a right to be involved in the decision-making process to a degree sufficient to protect one's interests</w:t>
      </w:r>
      <w:r w:rsidR="00BA3F84">
        <w:rPr>
          <w:rFonts w:ascii="Arial" w:eastAsia="Arial" w:hAnsi="Arial" w:cs="Arial"/>
          <w:sz w:val="22"/>
          <w:szCs w:val="22"/>
        </w:rPr>
        <w:t>.</w:t>
      </w:r>
      <w:r w:rsidR="00BA3F84">
        <w:rPr>
          <w:rStyle w:val="FootnoteReference"/>
          <w:rFonts w:ascii="Arial" w:eastAsia="Arial" w:hAnsi="Arial" w:cs="Arial"/>
          <w:sz w:val="22"/>
          <w:szCs w:val="22"/>
        </w:rPr>
        <w:footnoteReference w:id="29"/>
      </w:r>
      <w:r w:rsidR="00752B32">
        <w:rPr>
          <w:rFonts w:ascii="Arial" w:eastAsia="Arial" w:hAnsi="Arial" w:cs="Arial"/>
          <w:sz w:val="22"/>
          <w:szCs w:val="22"/>
        </w:rPr>
        <w:t xml:space="preserve"> </w:t>
      </w:r>
      <w:r w:rsidR="00FF64EB" w:rsidRPr="00FF64EB">
        <w:rPr>
          <w:rFonts w:ascii="Arial" w:eastAsia="Arial" w:hAnsi="Arial" w:cs="Arial"/>
          <w:sz w:val="22"/>
          <w:szCs w:val="22"/>
        </w:rPr>
        <w:t>Removing external challenge to case-management decisions risks falling short of this requirement</w:t>
      </w:r>
      <w:r w:rsidRPr="47D51BD3">
        <w:rPr>
          <w:rFonts w:ascii="Arial" w:eastAsia="Arial" w:hAnsi="Arial" w:cs="Arial"/>
          <w:sz w:val="22"/>
          <w:szCs w:val="22"/>
        </w:rPr>
        <w:t xml:space="preserve">.  </w:t>
      </w:r>
    </w:p>
    <w:p w14:paraId="7F8875F1" w14:textId="0C9B9805"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2: Membership of the IIAA</w:t>
      </w:r>
    </w:p>
    <w:p w14:paraId="3121A160" w14:textId="7597BF91"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s.2(1) create</w:t>
      </w:r>
      <w:r w:rsidR="040EF590" w:rsidRPr="47D51BD3">
        <w:rPr>
          <w:rFonts w:ascii="Arial" w:eastAsia="Arial" w:hAnsi="Arial" w:cs="Arial"/>
          <w:sz w:val="22"/>
          <w:szCs w:val="22"/>
        </w:rPr>
        <w:t>s</w:t>
      </w:r>
      <w:r w:rsidRPr="47D51BD3">
        <w:rPr>
          <w:rFonts w:ascii="Arial" w:eastAsia="Arial" w:hAnsi="Arial" w:cs="Arial"/>
          <w:sz w:val="22"/>
          <w:szCs w:val="22"/>
        </w:rPr>
        <w:t xml:space="preserve"> a two-tier structure, with non-executive members (Chair, Professional Standards Officer) and executive members (Chief Executive, Chief Appeals Officer, and the IIAA adjudicators who decide cases).</w:t>
      </w:r>
    </w:p>
    <w:p w14:paraId="7238BF68" w14:textId="77777777" w:rsidR="00651471" w:rsidRPr="009908E8" w:rsidRDefault="0603F9AF" w:rsidP="00BA7E30">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Under s.2(2)-(5), the Home Secretary appoints the Chair and the first Chief Executive of the IIAA, and it is that Chief Executive who appoints the adjudicators who determine appeals against Home Office decisions. Given that the Home Office is a party to every appeal, this creates a serious risk of perceived or actual bias. ILPA considers that recruitment to the new body must be overseen by the Ministry of Justice and the Judicial Appointments Commission, not by the Home Office. The Explanatory notes state that this membership style is designed to “reinforce the IIAA's independence from Government insofar as possible.”</w:t>
      </w:r>
      <w:r w:rsidR="00651471" w:rsidRPr="47D51BD3">
        <w:rPr>
          <w:rStyle w:val="FootnoteReference"/>
          <w:rFonts w:ascii="Arial" w:eastAsia="Arial" w:hAnsi="Arial" w:cs="Arial"/>
          <w:sz w:val="22"/>
          <w:szCs w:val="22"/>
        </w:rPr>
        <w:footnoteReference w:id="30"/>
      </w:r>
      <w:r w:rsidRPr="47D51BD3">
        <w:rPr>
          <w:rFonts w:ascii="Arial" w:eastAsia="Arial" w:hAnsi="Arial" w:cs="Arial"/>
          <w:sz w:val="22"/>
          <w:szCs w:val="22"/>
        </w:rPr>
        <w:t xml:space="preserve"> We do not think that is the case, as the Secretary of State will appoint the first Chair, who then controls every subsequent appointment.</w:t>
      </w:r>
    </w:p>
    <w:p w14:paraId="0613E954" w14:textId="21052F03" w:rsidR="00651471" w:rsidRPr="009908E8" w:rsidRDefault="0603F9AF" w:rsidP="004038FF">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s.2(7)(b) states that a person may not be appointed as Professional Standards Officer or Chief Appeals Officer unless they have experience in law-related activities which, in the opinion of the Chief Executive, makes them suitable for appointment, with 5 years required; the same test applies to senior adjudicators at 2 years. There is no eligibility requirement at all for executive-grade adjudicators.</w:t>
      </w:r>
    </w:p>
    <w:p w14:paraId="0DF1FAAB" w14:textId="4893C0A1" w:rsidR="00B44FEF" w:rsidRPr="009908E8" w:rsidRDefault="0603F9AF" w:rsidP="004038FF">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There is no evidence to show that this would improve the quality of decision making or the timeframe within which decisions are made. ILPA is concerned that the proposal to appoint adjudicators without legal qualification or significant legal expertise creates a high risk of error and unfairness, without directly assisting with delay and backlog.</w:t>
      </w:r>
    </w:p>
    <w:p w14:paraId="44EAE866" w14:textId="32E7B0F0" w:rsidR="00651471" w:rsidRPr="009908E8" w:rsidRDefault="0603F9AF" w:rsidP="004038FF">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Immigration and asylum law is among the most complex areas of domestic law, and courts have repeatedly noted its complexity. In </w:t>
      </w:r>
      <w:proofErr w:type="spellStart"/>
      <w:r w:rsidRPr="47D51BD3">
        <w:rPr>
          <w:rFonts w:ascii="Arial" w:eastAsia="Arial" w:hAnsi="Arial" w:cs="Arial"/>
          <w:i/>
          <w:sz w:val="22"/>
          <w:szCs w:val="22"/>
        </w:rPr>
        <w:t>Pokhriyal</w:t>
      </w:r>
      <w:proofErr w:type="spellEnd"/>
      <w:r w:rsidRPr="47D51BD3">
        <w:rPr>
          <w:rFonts w:ascii="Arial" w:eastAsia="Arial" w:hAnsi="Arial" w:cs="Arial"/>
          <w:i/>
          <w:sz w:val="22"/>
          <w:szCs w:val="22"/>
        </w:rPr>
        <w:t xml:space="preserve"> v Secretary of State for the Home Department</w:t>
      </w:r>
      <w:r w:rsidRPr="47D51BD3">
        <w:rPr>
          <w:rFonts w:ascii="Arial" w:eastAsia="Arial" w:hAnsi="Arial" w:cs="Arial"/>
          <w:sz w:val="22"/>
          <w:szCs w:val="22"/>
        </w:rPr>
        <w:t>, Jackson LJ observed that immigration law provisions have "achieved a degree of complexity which even the Byzantine emperors would have envied."</w:t>
      </w:r>
      <w:r w:rsidR="00651471" w:rsidRPr="47D51BD3">
        <w:rPr>
          <w:rStyle w:val="FootnoteReference"/>
          <w:rFonts w:ascii="Arial" w:eastAsia="Arial" w:hAnsi="Arial" w:cs="Arial"/>
          <w:sz w:val="22"/>
          <w:szCs w:val="22"/>
        </w:rPr>
        <w:footnoteReference w:id="31"/>
      </w:r>
      <w:r w:rsidRPr="47D51BD3">
        <w:rPr>
          <w:rFonts w:ascii="Arial" w:eastAsia="Arial" w:hAnsi="Arial" w:cs="Arial"/>
          <w:sz w:val="22"/>
          <w:szCs w:val="22"/>
        </w:rPr>
        <w:t xml:space="preserve"> In </w:t>
      </w:r>
      <w:r w:rsidRPr="47D51BD3">
        <w:rPr>
          <w:rFonts w:ascii="Arial" w:eastAsia="Arial" w:hAnsi="Arial" w:cs="Arial"/>
          <w:i/>
          <w:sz w:val="22"/>
          <w:szCs w:val="22"/>
        </w:rPr>
        <w:t>Singh v Secretary of State for the Home Department</w:t>
      </w:r>
      <w:r w:rsidRPr="47D51BD3">
        <w:rPr>
          <w:rFonts w:ascii="Arial" w:eastAsia="Arial" w:hAnsi="Arial" w:cs="Arial"/>
          <w:sz w:val="22"/>
          <w:szCs w:val="22"/>
        </w:rPr>
        <w:t>, the Court of Appeal noted the legislation is not "readily understandable by ordinary lawyers and other advisers," let alone lay decision-makers.</w:t>
      </w:r>
      <w:r w:rsidR="00651471" w:rsidRPr="47D51BD3">
        <w:rPr>
          <w:rStyle w:val="FootnoteReference"/>
          <w:rFonts w:ascii="Arial" w:eastAsia="Arial" w:hAnsi="Arial" w:cs="Arial"/>
          <w:sz w:val="22"/>
          <w:szCs w:val="22"/>
        </w:rPr>
        <w:footnoteReference w:id="32"/>
      </w:r>
      <w:r w:rsidRPr="47D51BD3">
        <w:rPr>
          <w:rFonts w:ascii="Arial" w:eastAsia="Arial" w:hAnsi="Arial" w:cs="Arial"/>
          <w:sz w:val="22"/>
          <w:szCs w:val="22"/>
        </w:rPr>
        <w:t xml:space="preserve"> In </w:t>
      </w:r>
      <w:proofErr w:type="spellStart"/>
      <w:r w:rsidRPr="47D51BD3">
        <w:rPr>
          <w:rFonts w:ascii="Arial" w:eastAsia="Arial" w:hAnsi="Arial" w:cs="Arial"/>
          <w:i/>
          <w:sz w:val="22"/>
          <w:szCs w:val="22"/>
        </w:rPr>
        <w:t>Mustaj</w:t>
      </w:r>
      <w:proofErr w:type="spellEnd"/>
      <w:r w:rsidRPr="47D51BD3">
        <w:rPr>
          <w:rFonts w:ascii="Arial" w:eastAsia="Arial" w:hAnsi="Arial" w:cs="Arial"/>
          <w:i/>
          <w:sz w:val="22"/>
          <w:szCs w:val="22"/>
        </w:rPr>
        <w:t xml:space="preserve"> v Secretary of State for the Home Department</w:t>
      </w:r>
      <w:r w:rsidRPr="47D51BD3">
        <w:rPr>
          <w:rFonts w:ascii="Arial" w:eastAsia="Arial" w:hAnsi="Arial" w:cs="Arial"/>
          <w:sz w:val="22"/>
          <w:szCs w:val="22"/>
        </w:rPr>
        <w:t xml:space="preserve">, the Court of Appeal observed that mistakes occur more frequently in the drafting of Immigration Rules than in other legislation, affirming the criticism expressed in </w:t>
      </w:r>
      <w:r w:rsidRPr="47D51BD3">
        <w:rPr>
          <w:rFonts w:ascii="Arial" w:eastAsia="Arial" w:hAnsi="Arial" w:cs="Arial"/>
          <w:i/>
          <w:sz w:val="22"/>
          <w:szCs w:val="22"/>
        </w:rPr>
        <w:t>Hoque v Secretary of State for the Home Department</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33"/>
      </w:r>
      <w:r w:rsidRPr="47D51BD3">
        <w:rPr>
          <w:rFonts w:ascii="Arial" w:eastAsia="Arial" w:hAnsi="Arial" w:cs="Arial"/>
          <w:sz w:val="22"/>
          <w:szCs w:val="22"/>
        </w:rPr>
        <w:t xml:space="preserve"> Appointing adjudicators without adequate legal expertise, and without the independent appointment and accountability structures of the existing judiciary, risks unlawful decisions and is likely to increase onward appeals to the Upper Tribunal, judicial reviews, and further legal challenges - undermining the policy objective of reducing delays.</w:t>
      </w:r>
    </w:p>
    <w:p w14:paraId="02E26354" w14:textId="3397EF93" w:rsidR="00651471" w:rsidRPr="009908E8" w:rsidRDefault="0603F9AF" w:rsidP="00F33CDC">
      <w:pPr>
        <w:pStyle w:val="ListParagraph"/>
        <w:numPr>
          <w:ilvl w:val="0"/>
          <w:numId w:val="3"/>
        </w:numPr>
        <w:spacing w:after="80" w:line="276" w:lineRule="auto"/>
        <w:contextualSpacing w:val="0"/>
        <w:rPr>
          <w:rFonts w:ascii="Arial" w:eastAsia="Arial" w:hAnsi="Arial" w:cs="Arial"/>
          <w:sz w:val="22"/>
          <w:szCs w:val="22"/>
        </w:rPr>
      </w:pPr>
      <w:r w:rsidRPr="47D51BD3">
        <w:rPr>
          <w:rFonts w:ascii="Arial" w:eastAsia="Arial" w:hAnsi="Arial" w:cs="Arial"/>
          <w:sz w:val="22"/>
          <w:szCs w:val="22"/>
        </w:rPr>
        <w:t>Schedule 2(3) provides that a non-executive member (including the Chair) may be removed by the Secretary of State alone if satisfied the person is guilty of serious misconduct, has a conflict of interest, or is unable, unfit, or unwilling to carry out their functions.</w:t>
      </w:r>
    </w:p>
    <w:p w14:paraId="420951ED" w14:textId="5010A31F"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This is a serious concern. The IIAA has no oversight over this removal power, nor does Parliament. This concentrates substantial power in the hands of the Secretary of State without parliamentary scrutiny, raising serious concerns about the independence of the body. We are particularly concerned about the potential misuse of this power in case of future Secretaries of State</w:t>
      </w:r>
      <w:r w:rsidR="3F831997" w:rsidRPr="47D51BD3">
        <w:rPr>
          <w:rFonts w:ascii="Arial" w:eastAsia="Arial" w:hAnsi="Arial" w:cs="Arial"/>
          <w:sz w:val="22"/>
          <w:szCs w:val="22"/>
        </w:rPr>
        <w:t xml:space="preserve"> who </w:t>
      </w:r>
      <w:r w:rsidR="6E8A2FDC" w:rsidRPr="47D51BD3">
        <w:rPr>
          <w:rFonts w:ascii="Arial" w:eastAsia="Arial" w:hAnsi="Arial" w:cs="Arial"/>
          <w:sz w:val="22"/>
          <w:szCs w:val="22"/>
        </w:rPr>
        <w:t>wished to exercise it</w:t>
      </w:r>
      <w:r w:rsidR="70541713" w:rsidRPr="47D51BD3">
        <w:rPr>
          <w:rFonts w:ascii="Arial" w:eastAsia="Arial" w:hAnsi="Arial" w:cs="Arial"/>
          <w:sz w:val="22"/>
          <w:szCs w:val="22"/>
        </w:rPr>
        <w:t xml:space="preserve"> in a more extreme way</w:t>
      </w:r>
      <w:r w:rsidR="2DE79AD2" w:rsidRPr="47D51BD3">
        <w:rPr>
          <w:rFonts w:ascii="Arial" w:eastAsia="Arial" w:hAnsi="Arial" w:cs="Arial"/>
          <w:sz w:val="22"/>
          <w:szCs w:val="22"/>
        </w:rPr>
        <w:t>, which heightens the risk of politicisation and undermines the independence of the body.</w:t>
      </w:r>
    </w:p>
    <w:p w14:paraId="7A98C4B7" w14:textId="78DAE6C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Paragraph 12 to Schedule 2 says that the Secretary of State may provide financial assistance to the IIAA, without the Bill specifying under what conditions such assistance may be given or withheld. This is an undefined power held by the Secretary of State that needs further clarity and scrutiny. </w:t>
      </w:r>
    </w:p>
    <w:p w14:paraId="51BFAC98" w14:textId="0867433D"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3: Powers and duties of IIAA members</w:t>
      </w:r>
    </w:p>
    <w:p w14:paraId="414D36D5" w14:textId="7777777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S.3(3): the Chief Appeals Officer is responsible, among other things, for (c) overseeing the quality of decisions made by IIAA adjudicators, and (d) developing a quality assurance mechanism. Neither the Bill nor the Explanatory Notes and Schedules indicate how quality will be assessed or what the quality assurance mechanism will involve, which is a significant gap given that this mechanism is the primary internal safeguard for decision quality.</w:t>
      </w:r>
      <w:r w:rsidR="00651471" w:rsidRPr="47D51BD3">
        <w:rPr>
          <w:rStyle w:val="FootnoteReference"/>
          <w:rFonts w:ascii="Arial" w:eastAsia="Arial" w:hAnsi="Arial" w:cs="Arial"/>
          <w:sz w:val="22"/>
          <w:szCs w:val="22"/>
        </w:rPr>
        <w:footnoteReference w:id="34"/>
      </w:r>
    </w:p>
    <w:p w14:paraId="4A3D6DA2" w14:textId="63D119B0"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4: IIAA Procedure Rules</w:t>
      </w:r>
    </w:p>
    <w:p w14:paraId="31A3BB0A" w14:textId="0FBEDFA0"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s.4 says that IIAA Procedure Rules are made by the IIAA Procedure Rules Board, by statutory instrument, subject to the negative procedure in Parliament. That means they take effect without a vote unless members of Parliament actively object, so without the level of parliamentary scrutiny given to the primary provisions of this Bill, </w:t>
      </w:r>
      <w:r w:rsidR="6D9EF448" w:rsidRPr="47D51BD3">
        <w:rPr>
          <w:rFonts w:ascii="Arial" w:eastAsia="Arial" w:hAnsi="Arial" w:cs="Arial"/>
          <w:sz w:val="22"/>
          <w:szCs w:val="22"/>
        </w:rPr>
        <w:t>despite</w:t>
      </w:r>
      <w:r w:rsidRPr="47D51BD3">
        <w:rPr>
          <w:rFonts w:ascii="Arial" w:eastAsia="Arial" w:hAnsi="Arial" w:cs="Arial"/>
          <w:sz w:val="22"/>
          <w:szCs w:val="22"/>
        </w:rPr>
        <w:t xml:space="preserve"> the direct effect these Rules will have on procedural fairness. </w:t>
      </w:r>
    </w:p>
    <w:p w14:paraId="714B4AA4" w14:textId="7B85D41E"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5: the IIAA Procedure Rules Board</w:t>
      </w:r>
    </w:p>
    <w:p w14:paraId="707B77E0" w14:textId="7777777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Very worryingly, s.5 says that the Procedure Rules Board's membership includes, under para (5)(1)(d), "any standing member appointed by the Chair".</w:t>
      </w:r>
      <w:r w:rsidR="00651471" w:rsidRPr="47D51BD3">
        <w:rPr>
          <w:rStyle w:val="FootnoteReference"/>
          <w:rFonts w:ascii="Arial" w:eastAsia="Arial" w:hAnsi="Arial" w:cs="Arial"/>
          <w:sz w:val="22"/>
          <w:szCs w:val="22"/>
        </w:rPr>
        <w:footnoteReference w:id="35"/>
      </w:r>
      <w:r w:rsidRPr="47D51BD3">
        <w:rPr>
          <w:rFonts w:ascii="Arial" w:eastAsia="Arial" w:hAnsi="Arial" w:cs="Arial"/>
          <w:sz w:val="22"/>
          <w:szCs w:val="22"/>
        </w:rPr>
        <w:t xml:space="preserve"> There is no fixed number and no specific requirements set for who may fill this role.</w:t>
      </w:r>
    </w:p>
    <w:p w14:paraId="4BB2C7C8" w14:textId="27F8778F"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The IIAA Procedure Rules Board is composed entirely of IIAA executives (Chief Executive, Chief Appeals Officer, Professional Standards Officer) plus any standing member the Chair chooses to appoint, with no external, judicial, or independent practitioner membership at all. This contrasts with the Tribunal Procedure Committee governing the First-tier Tribunal, which includes judicial members and Lord Chancellor-nominated members with relevant experience. This sets a dangerous precedent, where the division of power gets blurred. </w:t>
      </w:r>
    </w:p>
    <w:p w14:paraId="24A723CB" w14:textId="449EBAA1"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6: Power of IIAA to review its own decisions</w:t>
      </w:r>
    </w:p>
    <w:p w14:paraId="3B14D7F2" w14:textId="7777777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Under s.6(1), a review may be started two ways, on the IIAA's own initiative, or on application by a party. We note that this is a discretionary power, even where a party applies and a problem is agreed to exist, carrying out a review is not mandatory, as exemplified </w:t>
      </w:r>
      <w:proofErr w:type="gramStart"/>
      <w:r w:rsidRPr="47D51BD3">
        <w:rPr>
          <w:rFonts w:ascii="Arial" w:eastAsia="Arial" w:hAnsi="Arial" w:cs="Arial"/>
          <w:sz w:val="22"/>
          <w:szCs w:val="22"/>
        </w:rPr>
        <w:t>by the use of</w:t>
      </w:r>
      <w:proofErr w:type="gramEnd"/>
      <w:r w:rsidRPr="47D51BD3">
        <w:rPr>
          <w:rFonts w:ascii="Arial" w:eastAsia="Arial" w:hAnsi="Arial" w:cs="Arial"/>
          <w:sz w:val="22"/>
          <w:szCs w:val="22"/>
        </w:rPr>
        <w:t xml:space="preserve"> “may” in the clause.</w:t>
      </w:r>
      <w:r w:rsidR="00651471" w:rsidRPr="47D51BD3">
        <w:rPr>
          <w:rStyle w:val="FootnoteReference"/>
          <w:rFonts w:ascii="Arial" w:eastAsia="Arial" w:hAnsi="Arial" w:cs="Arial"/>
          <w:sz w:val="22"/>
          <w:szCs w:val="22"/>
        </w:rPr>
        <w:footnoteReference w:id="36"/>
      </w:r>
    </w:p>
    <w:p w14:paraId="29AD3768" w14:textId="7777777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We note with great concern that s.6(2) specifies that the review is carried out by "an IIAA adjudicator", without saying whether that is a senior adjudicator, and whether it would be a different adjudicator from the one who made the original decision. Based on the Bill and the Explanatory Notes, the same adjudicator who decided the case could also review it.</w:t>
      </w:r>
      <w:r w:rsidR="00651471" w:rsidRPr="47D51BD3">
        <w:rPr>
          <w:rStyle w:val="FootnoteReference"/>
          <w:rFonts w:ascii="Arial" w:eastAsia="Arial" w:hAnsi="Arial" w:cs="Arial"/>
          <w:sz w:val="22"/>
          <w:szCs w:val="22"/>
        </w:rPr>
        <w:footnoteReference w:id="37"/>
      </w:r>
    </w:p>
    <w:p w14:paraId="7533581C" w14:textId="77777777"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s.6(2) runs against the natural justice principle that no one should be a judge in their own case. As Lord Denning MR warned, if tribunals were left free to exceed their jurisdiction without any check by the courts, the rule of law would be at an end.</w:t>
      </w:r>
      <w:r w:rsidR="00651471" w:rsidRPr="47D51BD3">
        <w:rPr>
          <w:rStyle w:val="FootnoteReference"/>
          <w:rFonts w:ascii="Arial" w:eastAsia="Arial" w:hAnsi="Arial" w:cs="Arial"/>
          <w:sz w:val="22"/>
          <w:szCs w:val="22"/>
        </w:rPr>
        <w:footnoteReference w:id="38"/>
      </w:r>
      <w:r w:rsidRPr="47D51BD3">
        <w:rPr>
          <w:rFonts w:ascii="Arial" w:eastAsia="Arial" w:hAnsi="Arial" w:cs="Arial"/>
          <w:sz w:val="22"/>
          <w:szCs w:val="22"/>
        </w:rPr>
        <w:t xml:space="preserve"> Nothing in Schedule 3 fills this gap. </w:t>
      </w:r>
    </w:p>
    <w:p w14:paraId="4DC82760" w14:textId="2C2564F3" w:rsidR="00651471" w:rsidRPr="009908E8" w:rsidRDefault="0603F9AF" w:rsidP="008D1049">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s.6(3)</w:t>
      </w:r>
      <w:r w:rsidR="06737C44" w:rsidRPr="47D51BD3">
        <w:rPr>
          <w:rFonts w:ascii="Arial" w:eastAsia="Arial" w:hAnsi="Arial" w:cs="Arial"/>
          <w:sz w:val="22"/>
          <w:szCs w:val="22"/>
        </w:rPr>
        <w:t xml:space="preserve"> provides</w:t>
      </w:r>
      <w:r w:rsidRPr="47D51BD3">
        <w:rPr>
          <w:rFonts w:ascii="Arial" w:eastAsia="Arial" w:hAnsi="Arial" w:cs="Arial"/>
          <w:sz w:val="22"/>
          <w:szCs w:val="22"/>
        </w:rPr>
        <w:t xml:space="preserve"> three escalating options once a review takes place: (a) correct clerical/administrative errors; (b) amend the written reasons without necessarily changing the outcome; (c) re-make the decision entirely.</w:t>
      </w:r>
    </w:p>
    <w:p w14:paraId="129B7BCC" w14:textId="77777777"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s.6(4) provides that a decision "may not be reviewed under this section more than once", which means that a decision re-made under (3)(c) cannot itself be reviewed again</w:t>
      </w:r>
      <w:r w:rsidR="00651471" w:rsidRPr="47D51BD3">
        <w:rPr>
          <w:rStyle w:val="FootnoteReference"/>
          <w:rFonts w:ascii="Arial" w:eastAsia="Arial" w:hAnsi="Arial" w:cs="Arial"/>
          <w:sz w:val="22"/>
          <w:szCs w:val="22"/>
        </w:rPr>
        <w:footnoteReference w:id="39"/>
      </w:r>
      <w:r w:rsidRPr="47D51BD3">
        <w:rPr>
          <w:rFonts w:ascii="Arial" w:eastAsia="Arial" w:hAnsi="Arial" w:cs="Arial"/>
          <w:sz w:val="22"/>
          <w:szCs w:val="22"/>
        </w:rPr>
        <w:t xml:space="preserve">. Thus, if the second decision is also wrong, there is no other remedy other than to proceed to the Upper Tribunal on a point of law, which prolongs the appeal process. </w:t>
      </w:r>
    </w:p>
    <w:p w14:paraId="71E9067E" w14:textId="77777777" w:rsidR="00651471" w:rsidRPr="009908E8" w:rsidRDefault="0603F9AF" w:rsidP="00F33CDC">
      <w:pPr>
        <w:pStyle w:val="ListParagraph"/>
        <w:numPr>
          <w:ilvl w:val="0"/>
          <w:numId w:val="3"/>
        </w:numPr>
        <w:spacing w:after="80" w:line="276" w:lineRule="auto"/>
        <w:contextualSpacing w:val="0"/>
        <w:rPr>
          <w:rFonts w:ascii="Arial" w:eastAsia="Arial" w:hAnsi="Arial" w:cs="Arial"/>
          <w:sz w:val="22"/>
          <w:szCs w:val="22"/>
        </w:rPr>
      </w:pPr>
      <w:r w:rsidRPr="47D51BD3">
        <w:rPr>
          <w:rFonts w:ascii="Arial" w:eastAsia="Arial" w:hAnsi="Arial" w:cs="Arial"/>
          <w:sz w:val="22"/>
          <w:szCs w:val="22"/>
        </w:rPr>
        <w:t>The Explanatory Notes state that "a single appeal route process will be established to ensure there is no advantage to bringing forward new claims or evidence piecemeal to frustrate the system."</w:t>
      </w:r>
      <w:r w:rsidR="00651471" w:rsidRPr="47D51BD3">
        <w:rPr>
          <w:rStyle w:val="FootnoteReference"/>
          <w:rFonts w:ascii="Arial" w:eastAsia="Arial" w:hAnsi="Arial" w:cs="Arial"/>
          <w:sz w:val="22"/>
          <w:szCs w:val="22"/>
        </w:rPr>
        <w:footnoteReference w:id="40"/>
      </w:r>
      <w:r w:rsidRPr="47D51BD3">
        <w:rPr>
          <w:rFonts w:ascii="Arial" w:eastAsia="Arial" w:hAnsi="Arial" w:cs="Arial"/>
          <w:sz w:val="22"/>
          <w:szCs w:val="22"/>
        </w:rPr>
        <w:t xml:space="preserve"> </w:t>
      </w:r>
    </w:p>
    <w:p w14:paraId="13AAF142" w14:textId="32994E4A"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It is worth clarifying that the current system does not in fact involve multiple parallel appeal routes: there is one appeal route, from the First-tier Tribunal to the Upper Tribunal on an error of law. The possibility of remittal to the First-tier Tribunal following an Upper Tribunal finding of error is not a separate appeal route, it is a narrow, necessary feature guaranteeing a proper remedy for errors of law. Indeed, the Practice Statements of the Immigration and Asylum Chambers of the First-tier Tribunal and Upper Tribunal dated 11 June 2018 (the “Practice Statement”), provides at 7.2 that the Upper Tribunal is, “likely on each occasion to re-make the decision”.</w:t>
      </w:r>
      <w:r w:rsidR="00651471" w:rsidRPr="47D51BD3">
        <w:rPr>
          <w:rStyle w:val="FootnoteReference"/>
          <w:rFonts w:ascii="Arial" w:eastAsia="Arial" w:hAnsi="Arial" w:cs="Arial"/>
          <w:sz w:val="22"/>
          <w:szCs w:val="22"/>
        </w:rPr>
        <w:footnoteReference w:id="41"/>
      </w:r>
      <w:r w:rsidRPr="47D51BD3">
        <w:rPr>
          <w:rFonts w:ascii="Arial" w:eastAsia="Arial" w:hAnsi="Arial" w:cs="Arial"/>
          <w:sz w:val="22"/>
          <w:szCs w:val="22"/>
        </w:rPr>
        <w:t xml:space="preserve"> As considered and applied, if there is an error of law, the expectation is for the matter to be redecided by the Upper Tribunal - it is usually remitted back to the FTT to decide again. This means that the U</w:t>
      </w:r>
      <w:r w:rsidR="46BCD5BE" w:rsidRPr="47D51BD3">
        <w:rPr>
          <w:rFonts w:ascii="Arial" w:eastAsia="Arial" w:hAnsi="Arial" w:cs="Arial"/>
          <w:sz w:val="22"/>
          <w:szCs w:val="22"/>
        </w:rPr>
        <w:t>pper Tribunal</w:t>
      </w:r>
      <w:r w:rsidRPr="47D51BD3">
        <w:rPr>
          <w:rFonts w:ascii="Arial" w:eastAsia="Arial" w:hAnsi="Arial" w:cs="Arial"/>
          <w:sz w:val="22"/>
          <w:szCs w:val="22"/>
        </w:rPr>
        <w:t xml:space="preserve"> can focus on reviewing and deciding errors of law. Any departure from this default is not a separate appeal route. It is a manifestation of where the court considers it is in the interests of justice that remittal is appropriate.</w:t>
      </w:r>
      <w:r w:rsidR="00651471" w:rsidRPr="47D51BD3">
        <w:rPr>
          <w:rStyle w:val="FootnoteReference"/>
          <w:rFonts w:ascii="Arial" w:eastAsia="Arial" w:hAnsi="Arial" w:cs="Arial"/>
          <w:sz w:val="22"/>
          <w:szCs w:val="22"/>
        </w:rPr>
        <w:footnoteReference w:id="42"/>
      </w:r>
    </w:p>
    <w:p w14:paraId="1FF63098" w14:textId="159002D4"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While there continues to be poor-quality decision-making by the Home Office at the outset of the process, and a lack of adequate legal aid provision, it is not safe to move to a one-tier first-instance system as proposed, as that would concentrate greater weight on a decision maker who is already arguably not fit for purpose, removing important safeguards. The impact on an appellant of an incorrect dismissal could be fatal.</w:t>
      </w:r>
    </w:p>
    <w:p w14:paraId="42B2F2DD" w14:textId="4109AB11"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7: Right of appeal to Upper Tribunal</w:t>
      </w:r>
    </w:p>
    <w:p w14:paraId="661BD23D" w14:textId="406244AC"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color w:val="404A68"/>
          <w:sz w:val="22"/>
          <w:szCs w:val="22"/>
        </w:rPr>
      </w:pPr>
      <w:r w:rsidRPr="47D51BD3">
        <w:rPr>
          <w:rFonts w:ascii="Arial" w:eastAsia="Arial" w:hAnsi="Arial" w:cs="Arial"/>
          <w:sz w:val="22"/>
          <w:szCs w:val="22"/>
        </w:rPr>
        <w:t>s.7 is close to a straight copy of the existing appeal rules.</w:t>
      </w:r>
      <w:r w:rsidR="00651471" w:rsidRPr="47D51BD3">
        <w:rPr>
          <w:rStyle w:val="FootnoteReference"/>
          <w:rFonts w:ascii="Arial" w:eastAsia="Arial" w:hAnsi="Arial" w:cs="Arial"/>
          <w:sz w:val="22"/>
          <w:szCs w:val="22"/>
        </w:rPr>
        <w:footnoteReference w:id="43"/>
      </w:r>
      <w:r w:rsidRPr="47D51BD3">
        <w:rPr>
          <w:rFonts w:ascii="Arial" w:eastAsia="Arial" w:hAnsi="Arial" w:cs="Arial"/>
          <w:sz w:val="22"/>
          <w:szCs w:val="22"/>
        </w:rPr>
        <w:t xml:space="preserve"> ILPA does not object to it in isolation, but here it matters when taken in conjunction with other clauses</w:t>
      </w:r>
      <w:r w:rsidR="00B61614">
        <w:rPr>
          <w:rFonts w:ascii="Arial" w:eastAsia="Arial" w:hAnsi="Arial" w:cs="Arial"/>
          <w:sz w:val="22"/>
          <w:szCs w:val="22"/>
        </w:rPr>
        <w:t>. Judicial review of appealable decisions is not generally available where an adequate alternative remedy exists</w:t>
      </w:r>
      <w:r w:rsidR="00661A7D">
        <w:rPr>
          <w:rFonts w:ascii="Arial" w:eastAsia="Arial" w:hAnsi="Arial" w:cs="Arial"/>
          <w:sz w:val="22"/>
          <w:szCs w:val="22"/>
        </w:rPr>
        <w:t xml:space="preserve">. </w:t>
      </w:r>
      <w:r w:rsidR="00E45F3F">
        <w:rPr>
          <w:rFonts w:ascii="Arial" w:eastAsia="Arial" w:hAnsi="Arial" w:cs="Arial"/>
          <w:sz w:val="22"/>
          <w:szCs w:val="22"/>
        </w:rPr>
        <w:t>s</w:t>
      </w:r>
      <w:r w:rsidR="00661A7D">
        <w:rPr>
          <w:rFonts w:ascii="Arial" w:eastAsia="Arial" w:hAnsi="Arial" w:cs="Arial"/>
          <w:sz w:val="22"/>
          <w:szCs w:val="22"/>
        </w:rPr>
        <w:t xml:space="preserve">.7 leaves only one tier of judicial consideration in place of the current two, and this is yet a further narrowing of remedies in view of the </w:t>
      </w:r>
      <w:r w:rsidR="004E325B">
        <w:rPr>
          <w:rFonts w:ascii="Arial" w:eastAsia="Arial" w:hAnsi="Arial" w:cs="Arial"/>
          <w:sz w:val="22"/>
          <w:szCs w:val="22"/>
        </w:rPr>
        <w:t xml:space="preserve">partial ouster of Cart judicial review under s.2 of the Judicial Review and Courts Act 2022. </w:t>
      </w:r>
    </w:p>
    <w:p w14:paraId="545D52B7" w14:textId="410F04A4" w:rsidR="00651471" w:rsidRPr="009908E8" w:rsidRDefault="0603F9AF" w:rsidP="1B9E9B8D">
      <w:pPr>
        <w:rPr>
          <w:rFonts w:ascii="Arial" w:eastAsia="Arial" w:hAnsi="Arial" w:cs="Arial"/>
          <w:b/>
          <w:color w:val="404A68"/>
          <w:sz w:val="22"/>
          <w:szCs w:val="22"/>
        </w:rPr>
      </w:pPr>
      <w:r w:rsidRPr="47D51BD3">
        <w:rPr>
          <w:rFonts w:ascii="Arial" w:eastAsia="Arial" w:hAnsi="Arial" w:cs="Arial"/>
          <w:b/>
          <w:color w:val="404A68"/>
          <w:sz w:val="22"/>
          <w:szCs w:val="22"/>
        </w:rPr>
        <w:t>Clause 8: Regulations about time periods</w:t>
      </w:r>
    </w:p>
    <w:p w14:paraId="1B3B072E" w14:textId="49584B88"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s.8(1): the Secretary of State may make regulations setting statutory deadlines for the IIAA to decide an appeal or bail application, or to take any procedural step. This sits in tension with s.4, which otherwise gives the IIAA Procedure Rules Board control over practice and procedure.</w:t>
      </w:r>
    </w:p>
    <w:p w14:paraId="428F3B3D" w14:textId="37E0C160"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s.8(2)-(3): extensions are possible but capped by the regulations, on narrow grounds only (not reasonably practicable, or not in the interests of justice). It is the IIAA, not the Secretary of State, that decides whether an extension is warranted within that ceiling.</w:t>
      </w:r>
    </w:p>
    <w:p w14:paraId="0BE07099" w14:textId="20FDDD9B"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s.8(4) provides a mandatory carve-out, where regulations must disapply time limits for appeals that must be brought or continued from outside the UK.</w:t>
      </w:r>
    </w:p>
    <w:p w14:paraId="3C4C6477" w14:textId="77777777" w:rsidR="00651471" w:rsidRPr="009908E8" w:rsidRDefault="0603F9AF" w:rsidP="00695FCA">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s.8(6): compliance data must appear in the IIAA's annual report.</w:t>
      </w:r>
      <w:r w:rsidR="00651471" w:rsidRPr="47D51BD3">
        <w:rPr>
          <w:rStyle w:val="FootnoteReference"/>
          <w:rFonts w:ascii="Arial" w:eastAsia="Arial" w:hAnsi="Arial" w:cs="Arial"/>
          <w:sz w:val="22"/>
          <w:szCs w:val="22"/>
        </w:rPr>
        <w:footnoteReference w:id="44"/>
      </w:r>
      <w:r w:rsidRPr="47D51BD3">
        <w:rPr>
          <w:rFonts w:ascii="Arial" w:eastAsia="Arial" w:hAnsi="Arial" w:cs="Arial"/>
          <w:sz w:val="22"/>
          <w:szCs w:val="22"/>
        </w:rPr>
        <w:t xml:space="preserve"> However, the level of detail required is itself set by regulations made by the Secretary of State, creating a circularity and raising transparency concerns: the body whose deadline-compliance is being measured is not the one deciding how much the public gets to see about it.</w:t>
      </w:r>
    </w:p>
    <w:p w14:paraId="59B6FCA0" w14:textId="53F4FD8D"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We note that under s8(7) the Secretary of State must consult the IIAA before making regulations under this subsection. Nonetheless, consulting does not mean obtaining its consent. That is not an actual check on power, and we restate our concern about the independence of this new body. </w:t>
      </w:r>
    </w:p>
    <w:p w14:paraId="5C066655" w14:textId="438F4A4C"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s.8 </w:t>
      </w:r>
      <w:r w:rsidR="46A9CB3F" w:rsidRPr="47D51BD3">
        <w:rPr>
          <w:rFonts w:ascii="Arial" w:eastAsia="Arial" w:hAnsi="Arial" w:cs="Arial"/>
          <w:sz w:val="22"/>
          <w:szCs w:val="22"/>
        </w:rPr>
        <w:t>gives</w:t>
      </w:r>
      <w:r w:rsidRPr="47D51BD3">
        <w:rPr>
          <w:rFonts w:ascii="Arial" w:eastAsia="Arial" w:hAnsi="Arial" w:cs="Arial"/>
          <w:sz w:val="22"/>
          <w:szCs w:val="22"/>
        </w:rPr>
        <w:t xml:space="preserve"> the Secretary of State</w:t>
      </w:r>
      <w:r w:rsidR="46A9CB3F" w:rsidRPr="47D51BD3">
        <w:rPr>
          <w:rFonts w:ascii="Arial" w:eastAsia="Arial" w:hAnsi="Arial" w:cs="Arial"/>
          <w:sz w:val="22"/>
          <w:szCs w:val="22"/>
        </w:rPr>
        <w:t xml:space="preserve"> a general power</w:t>
      </w:r>
      <w:r w:rsidRPr="47D51BD3">
        <w:rPr>
          <w:rFonts w:ascii="Arial" w:eastAsia="Arial" w:hAnsi="Arial" w:cs="Arial"/>
          <w:sz w:val="22"/>
          <w:szCs w:val="22"/>
        </w:rPr>
        <w:t xml:space="preserve"> over </w:t>
      </w:r>
      <w:r w:rsidR="46A9CB3F" w:rsidRPr="47D51BD3">
        <w:rPr>
          <w:rFonts w:ascii="Arial" w:eastAsia="Arial" w:hAnsi="Arial" w:cs="Arial"/>
          <w:sz w:val="22"/>
          <w:szCs w:val="22"/>
        </w:rPr>
        <w:t xml:space="preserve">how fast the </w:t>
      </w:r>
      <w:r w:rsidRPr="47D51BD3">
        <w:rPr>
          <w:rFonts w:ascii="Arial" w:eastAsia="Arial" w:hAnsi="Arial" w:cs="Arial"/>
          <w:sz w:val="22"/>
          <w:szCs w:val="22"/>
        </w:rPr>
        <w:t xml:space="preserve">IIAA </w:t>
      </w:r>
      <w:r w:rsidR="46A9CB3F" w:rsidRPr="47D51BD3">
        <w:rPr>
          <w:rFonts w:ascii="Arial" w:eastAsia="Arial" w:hAnsi="Arial" w:cs="Arial"/>
          <w:sz w:val="22"/>
          <w:szCs w:val="22"/>
        </w:rPr>
        <w:t>works</w:t>
      </w:r>
      <w:r w:rsidRPr="47D51BD3">
        <w:rPr>
          <w:rFonts w:ascii="Arial" w:eastAsia="Arial" w:hAnsi="Arial" w:cs="Arial"/>
          <w:sz w:val="22"/>
          <w:szCs w:val="22"/>
        </w:rPr>
        <w:t xml:space="preserve">. </w:t>
      </w:r>
      <w:r w:rsidR="593593BE" w:rsidRPr="47D51BD3">
        <w:rPr>
          <w:rFonts w:ascii="Arial" w:eastAsia="Arial" w:hAnsi="Arial" w:cs="Arial"/>
          <w:sz w:val="22"/>
          <w:szCs w:val="22"/>
        </w:rPr>
        <w:t>It does not</w:t>
      </w:r>
      <w:r w:rsidRPr="47D51BD3">
        <w:rPr>
          <w:rFonts w:ascii="Arial" w:eastAsia="Arial" w:hAnsi="Arial" w:cs="Arial"/>
          <w:sz w:val="22"/>
          <w:szCs w:val="22"/>
        </w:rPr>
        <w:t xml:space="preserve"> engage s.1(6)'s bar on ministerial influence, since that bar is narrowly drafted around direct contact with adjudicators about a "particular decision." The IIAA retains discretion within the framework, but deadlines, the ceiling on extensions, and how much transparency exists about compliance via s.8(6), all originates from the Secretary of State.</w:t>
      </w:r>
    </w:p>
    <w:p w14:paraId="7C90AD68" w14:textId="663D240E"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9: Expedition of cases on request by Secretary of State</w:t>
      </w:r>
    </w:p>
    <w:p w14:paraId="55596983" w14:textId="1A11F0EC"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s.9(1): if the Secretary of State considers it in the public interest for a case to be expedited, a written "expedition request" may be made to the IIAA specifying a decision date. Neither the Bill nor the Explanatory Notes define what counts as "public interest" for this purpose.</w:t>
      </w:r>
    </w:p>
    <w:p w14:paraId="6231B4CF" w14:textId="4D9B1953"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s.9(2) states that the IIAA must either approve or decline the request. The IIAA may decline only on two narrow grounds, not reasonably practicable, or not in the interests of justice s.9(3). It cannot decline simply because it disagrees the case is genuinely a public interest priority.</w:t>
      </w:r>
    </w:p>
    <w:p w14:paraId="27F24A75" w14:textId="05150DD3"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We flag the asymmetry, where the threshold for the Secretary of State to make a request is broad and subjective, but the threshold for the IIAA to decline one is narrow and specific. The IIAA has no power to second-guess the substance of why a case has been selected for expedition.</w:t>
      </w:r>
    </w:p>
    <w:p w14:paraId="151F3B81" w14:textId="75806F7B"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10: Charging power in respect of wasted resources</w:t>
      </w:r>
    </w:p>
    <w:p w14:paraId="6A3A84E6" w14:textId="76B2253F"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Clause 10 is very close to a direct copy of s.29 of the Tribunals, Courts and Enforcement Act 2007.</w:t>
      </w:r>
      <w:r w:rsidR="00651471" w:rsidRPr="47D51BD3">
        <w:rPr>
          <w:rStyle w:val="FootnoteReference"/>
          <w:rFonts w:ascii="Arial" w:eastAsia="Arial" w:hAnsi="Arial" w:cs="Arial"/>
          <w:sz w:val="22"/>
          <w:szCs w:val="22"/>
        </w:rPr>
        <w:footnoteReference w:id="45"/>
      </w:r>
      <w:r w:rsidRPr="47D51BD3">
        <w:rPr>
          <w:rFonts w:ascii="Arial" w:eastAsia="Arial" w:hAnsi="Arial" w:cs="Arial"/>
          <w:sz w:val="22"/>
          <w:szCs w:val="22"/>
        </w:rPr>
        <w:t xml:space="preserve"> However, s.10(3) defines "relevant participant" to include, at (c), an employee of a party's representative.</w:t>
      </w:r>
      <w:r w:rsidR="002B5317">
        <w:rPr>
          <w:rFonts w:ascii="Arial" w:eastAsia="Arial" w:hAnsi="Arial" w:cs="Arial"/>
          <w:sz w:val="22"/>
          <w:szCs w:val="22"/>
        </w:rPr>
        <w:t xml:space="preserve"> This is </w:t>
      </w:r>
      <w:proofErr w:type="gramStart"/>
      <w:r w:rsidR="002B5317">
        <w:rPr>
          <w:rFonts w:ascii="Arial" w:eastAsia="Arial" w:hAnsi="Arial" w:cs="Arial"/>
          <w:sz w:val="22"/>
          <w:szCs w:val="22"/>
        </w:rPr>
        <w:t>worsen</w:t>
      </w:r>
      <w:proofErr w:type="gramEnd"/>
      <w:r w:rsidR="002B5317">
        <w:rPr>
          <w:rFonts w:ascii="Arial" w:eastAsia="Arial" w:hAnsi="Arial" w:cs="Arial"/>
          <w:sz w:val="22"/>
          <w:szCs w:val="22"/>
        </w:rPr>
        <w:t xml:space="preserve"> by</w:t>
      </w:r>
      <w:r w:rsidR="00D749FC">
        <w:rPr>
          <w:rFonts w:ascii="Arial" w:eastAsia="Arial" w:hAnsi="Arial" w:cs="Arial"/>
          <w:sz w:val="22"/>
          <w:szCs w:val="22"/>
        </w:rPr>
        <w:t xml:space="preserve"> </w:t>
      </w:r>
      <w:r w:rsidR="00531DFE">
        <w:rPr>
          <w:rFonts w:ascii="Arial" w:eastAsia="Arial" w:hAnsi="Arial" w:cs="Arial"/>
          <w:sz w:val="22"/>
          <w:szCs w:val="22"/>
        </w:rPr>
        <w:t xml:space="preserve">the fact that </w:t>
      </w:r>
      <w:r w:rsidR="00D749FC">
        <w:rPr>
          <w:rFonts w:ascii="Arial" w:eastAsia="Arial" w:hAnsi="Arial" w:cs="Arial"/>
          <w:sz w:val="22"/>
          <w:szCs w:val="22"/>
        </w:rPr>
        <w:t xml:space="preserve">adjudicators exercising this power will not be legally qualified, and </w:t>
      </w:r>
      <w:r w:rsidR="00531DFE">
        <w:rPr>
          <w:rFonts w:ascii="Arial" w:eastAsia="Arial" w:hAnsi="Arial" w:cs="Arial"/>
          <w:sz w:val="22"/>
          <w:szCs w:val="22"/>
        </w:rPr>
        <w:t xml:space="preserve">that </w:t>
      </w:r>
      <w:r w:rsidR="00D749FC">
        <w:rPr>
          <w:rFonts w:ascii="Arial" w:eastAsia="Arial" w:hAnsi="Arial" w:cs="Arial"/>
          <w:sz w:val="22"/>
          <w:szCs w:val="22"/>
        </w:rPr>
        <w:t>if such charges are caught by</w:t>
      </w:r>
      <w:r w:rsidR="00687099">
        <w:rPr>
          <w:rFonts w:ascii="Arial" w:eastAsia="Arial" w:hAnsi="Arial" w:cs="Arial"/>
          <w:sz w:val="22"/>
          <w:szCs w:val="22"/>
        </w:rPr>
        <w:t xml:space="preserve"> the cl.1(8) ouster, an employee charged under cl.10(3)</w:t>
      </w:r>
      <w:r w:rsidR="00986A8E">
        <w:rPr>
          <w:rFonts w:ascii="Arial" w:eastAsia="Arial" w:hAnsi="Arial" w:cs="Arial"/>
          <w:sz w:val="22"/>
          <w:szCs w:val="22"/>
        </w:rPr>
        <w:t>(c) would have no route to challenge it</w:t>
      </w:r>
      <w:r w:rsidR="00814365">
        <w:rPr>
          <w:rFonts w:ascii="Arial" w:eastAsia="Arial" w:hAnsi="Arial" w:cs="Arial"/>
          <w:sz w:val="22"/>
          <w:szCs w:val="22"/>
        </w:rPr>
        <w:t xml:space="preserve">. </w:t>
      </w:r>
    </w:p>
    <w:p w14:paraId="4689FC13" w14:textId="38FA8B13"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This creates exposure to caseworkers and junior staff, not just the qualified solicitor or barrister on record. How significant this is in practice depends on the procedure rules made by the Rules Board under Schedule 3, para 16, which are not yet published.</w:t>
      </w:r>
    </w:p>
    <w:p w14:paraId="1C895965" w14:textId="47D7526E"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11: Claim notices</w:t>
      </w:r>
    </w:p>
    <w:p w14:paraId="5C373D00" w14:textId="13D85C17"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s.11(2): the notice requires the recipient to disclose, in one go, every reason for wanting to remain, all immigration and human rights grounds, any modern slavery or trafficking information, and all supporting evidence. It replaces the "priority removal notice" system from the Nationality and Borders Act 2022, repealed by this subsection, but front-loads disclosure into a single deadline rather than the staged process the Priority Removal Notice regime allowed for.</w:t>
      </w:r>
    </w:p>
    <w:p w14:paraId="1C9306D8" w14:textId="694C3344" w:rsidR="00A83E46"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We note that Clause 11, and the credibility mechanism it triggers, contain no age exemption, and the Explanatory Notes do not address this gap. </w:t>
      </w:r>
    </w:p>
    <w:p w14:paraId="4E2C0383" w14:textId="34DF48C2"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 Secretary of State may also expand what a notice can require by regulation, without returning to Parliament (s.11(4)), while any late response requires the recipient alone to explain the delay in writing (s.11(7)).</w:t>
      </w:r>
    </w:p>
    <w:p w14:paraId="098FA29E" w14:textId="4A7A89FE"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12: Late claims process</w:t>
      </w:r>
    </w:p>
    <w:p w14:paraId="665E3BB2" w14:textId="78622D4A"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s.12(1): late information only triggers the "late claims process" where it coincides with either being detained under a specified detention power or already having been given formal notice of removal arrangements. s.12(2): IIAA case managers must, so far as reasonably practicable, prioritise </w:t>
      </w:r>
      <w:r w:rsidR="7C5ED8E8" w:rsidRPr="47D51BD3">
        <w:rPr>
          <w:rFonts w:ascii="Arial" w:eastAsia="Arial" w:hAnsi="Arial" w:cs="Arial"/>
          <w:sz w:val="22"/>
          <w:szCs w:val="22"/>
        </w:rPr>
        <w:t xml:space="preserve">cases subject to </w:t>
      </w:r>
      <w:r w:rsidRPr="47D51BD3">
        <w:rPr>
          <w:rFonts w:ascii="Arial" w:eastAsia="Arial" w:hAnsi="Arial" w:cs="Arial"/>
          <w:sz w:val="22"/>
          <w:szCs w:val="22"/>
        </w:rPr>
        <w:t xml:space="preserve">late </w:t>
      </w:r>
      <w:r w:rsidR="7C5ED8E8" w:rsidRPr="47D51BD3">
        <w:rPr>
          <w:rFonts w:ascii="Arial" w:eastAsia="Arial" w:hAnsi="Arial" w:cs="Arial"/>
          <w:sz w:val="22"/>
          <w:szCs w:val="22"/>
        </w:rPr>
        <w:t>claims process</w:t>
      </w:r>
      <w:r w:rsidRPr="47D51BD3">
        <w:rPr>
          <w:rFonts w:ascii="Arial" w:eastAsia="Arial" w:hAnsi="Arial" w:cs="Arial"/>
          <w:sz w:val="22"/>
          <w:szCs w:val="22"/>
        </w:rPr>
        <w:t xml:space="preserve"> ahead of </w:t>
      </w:r>
      <w:r w:rsidR="1900707C" w:rsidRPr="47D51BD3">
        <w:rPr>
          <w:rFonts w:ascii="Arial" w:eastAsia="Arial" w:hAnsi="Arial" w:cs="Arial"/>
          <w:sz w:val="22"/>
          <w:szCs w:val="22"/>
        </w:rPr>
        <w:t>other appeals</w:t>
      </w:r>
      <w:r w:rsidR="2D56D3ED" w:rsidRPr="47D51BD3">
        <w:rPr>
          <w:rFonts w:ascii="Arial" w:eastAsia="Arial" w:hAnsi="Arial" w:cs="Arial"/>
          <w:sz w:val="22"/>
          <w:szCs w:val="22"/>
        </w:rPr>
        <w:t>.</w:t>
      </w:r>
      <w:r w:rsidRPr="47D51BD3">
        <w:rPr>
          <w:rFonts w:ascii="Arial" w:eastAsia="Arial" w:hAnsi="Arial" w:cs="Arial"/>
          <w:sz w:val="22"/>
          <w:szCs w:val="22"/>
        </w:rPr>
        <w:t xml:space="preserve"> s.12(3): the same lateness is added as a factor counting against the person in any bail decision.</w:t>
      </w:r>
    </w:p>
    <w:p w14:paraId="482513A0" w14:textId="45EF1430" w:rsidR="00651471" w:rsidRPr="009908E8" w:rsidRDefault="0603F9AF" w:rsidP="004E51AC">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 A person who is detained, or already told they are being removed, and who discloses something late, for example a trafficking history, a fear of persecution they were too </w:t>
      </w:r>
      <w:r w:rsidR="39F7978B" w:rsidRPr="47D51BD3">
        <w:rPr>
          <w:rFonts w:ascii="Arial" w:eastAsia="Arial" w:hAnsi="Arial" w:cs="Arial"/>
          <w:sz w:val="22"/>
          <w:szCs w:val="22"/>
        </w:rPr>
        <w:t>scared</w:t>
      </w:r>
      <w:r w:rsidRPr="47D51BD3">
        <w:rPr>
          <w:rFonts w:ascii="Arial" w:eastAsia="Arial" w:hAnsi="Arial" w:cs="Arial"/>
          <w:sz w:val="22"/>
          <w:szCs w:val="22"/>
        </w:rPr>
        <w:t xml:space="preserve"> or ashamed to mention earlier, is hit three ways at once: their credibility is automatically damaged (via s.11(7) feeding into Schedule 3/s.36), their case is then fast-tracked ahead of others still in the queue while they may still be detained (s.12(2)), and the same lateness counts against them if they apply for bail (s.12(3)).</w:t>
      </w:r>
    </w:p>
    <w:p w14:paraId="516EB38C" w14:textId="6581CFF0"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Full disclosure "as soon as possible" is not realistic for many claimants. Ss.11-12 assume a person can identify and disclose everything relevant, correctly and completely, within a fixed deadline. In practice, there are several well-documented barriers that make this unrealistic for many claimants, and they all overlap:</w:t>
      </w:r>
    </w:p>
    <w:p w14:paraId="1EEAD435" w14:textId="77777777"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Lack of legal advice - only 27% of people in immigration detention were represented by a lawyer in Bail for Immigration Detainees' Spring 2026 survey, the second consecutive survey to record the lowest level since monitoring began in 2010.</w:t>
      </w:r>
      <w:bookmarkStart w:id="8" w:name="_Ref234321699"/>
      <w:r w:rsidR="00651471" w:rsidRPr="47D51BD3">
        <w:rPr>
          <w:rStyle w:val="FootnoteReference"/>
          <w:rFonts w:ascii="Arial" w:eastAsia="Arial" w:hAnsi="Arial" w:cs="Arial"/>
          <w:sz w:val="22"/>
          <w:szCs w:val="22"/>
        </w:rPr>
        <w:footnoteReference w:id="46"/>
      </w:r>
      <w:bookmarkEnd w:id="8"/>
    </w:p>
    <w:p w14:paraId="31DBC0A2" w14:textId="460343C1"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Trauma, which routinely delays disclosure of the full extent of what happened, particularly for survivors of torture or trafficking.</w:t>
      </w:r>
    </w:p>
    <w:p w14:paraId="5679D659" w14:textId="77777777"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Fear, including fear of traffickers themselves. ILPA and 26 other anti-trafficking organisations note that fear of detention, removal, or disbelief is a tool of coercion used by traffickers, and that secure status, not the threat of a credibility penalty, is what allows survivors to come forward.</w:t>
      </w:r>
      <w:r w:rsidR="00651471" w:rsidRPr="47D51BD3">
        <w:rPr>
          <w:rStyle w:val="FootnoteReference"/>
          <w:rFonts w:ascii="Arial" w:eastAsia="Arial" w:hAnsi="Arial" w:cs="Arial"/>
          <w:sz w:val="22"/>
          <w:szCs w:val="22"/>
        </w:rPr>
        <w:footnoteReference w:id="47"/>
      </w:r>
    </w:p>
    <w:p w14:paraId="1B2109D2" w14:textId="4E17028D"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Not yet understanding that what happened to them is legally relevant, and language and literacy barriers, which are both recognised factors in assessing whether an unrepresented appellant can meaningfully participate in proceedings.</w:t>
      </w:r>
    </w:p>
    <w:p w14:paraId="5D828FEF" w14:textId="77777777"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For those in detention, restricted access to phones, the internet, and confidential space to take advice or gather evidence. Over half of BID's respondents said they or a family member had had to rely on internet research or work on their own case in the absence of representation, despite restricted internet access in detention.</w:t>
      </w:r>
      <w:r w:rsidR="00651471" w:rsidRPr="47D51BD3">
        <w:rPr>
          <w:rStyle w:val="FootnoteReference"/>
          <w:rFonts w:ascii="Arial" w:eastAsia="Arial" w:hAnsi="Arial" w:cs="Arial"/>
          <w:sz w:val="22"/>
          <w:szCs w:val="22"/>
        </w:rPr>
        <w:footnoteReference w:id="48"/>
      </w:r>
    </w:p>
    <w:p w14:paraId="74D8AB13" w14:textId="79340B49" w:rsidR="00651471" w:rsidRPr="009908E8" w:rsidRDefault="0603F9AF" w:rsidP="00AE00D5">
      <w:pPr>
        <w:numPr>
          <w:ilvl w:val="0"/>
          <w:numId w:val="2"/>
        </w:numPr>
        <w:spacing w:after="80" w:line="276" w:lineRule="auto"/>
        <w:jc w:val="both"/>
        <w:rPr>
          <w:rFonts w:ascii="Arial" w:eastAsia="Arial" w:hAnsi="Arial" w:cs="Arial"/>
          <w:sz w:val="22"/>
          <w:szCs w:val="22"/>
        </w:rPr>
      </w:pPr>
      <w:r w:rsidRPr="47D51BD3">
        <w:rPr>
          <w:rFonts w:ascii="Arial" w:eastAsia="Arial" w:hAnsi="Arial" w:cs="Arial"/>
          <w:sz w:val="22"/>
          <w:szCs w:val="22"/>
        </w:rPr>
        <w:t xml:space="preserve">None of these reflect bad faith. They are the ordinary circumstances in which genuine disclosure happens later than a fixed deadline allows. These proposals will disproportionately target people in detention or already facing removals. </w:t>
      </w:r>
    </w:p>
    <w:p w14:paraId="3727DD48" w14:textId="28B436A5"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We note that Article 33 of the Refugee Convention establishes the principle of </w:t>
      </w:r>
      <w:r w:rsidRPr="47D51BD3">
        <w:rPr>
          <w:rFonts w:ascii="Arial" w:eastAsia="Arial" w:hAnsi="Arial" w:cs="Arial"/>
          <w:i/>
          <w:sz w:val="22"/>
          <w:szCs w:val="22"/>
        </w:rPr>
        <w:t>non-refoulement</w:t>
      </w:r>
      <w:r w:rsidRPr="47D51BD3">
        <w:rPr>
          <w:rFonts w:ascii="Arial" w:eastAsia="Arial" w:hAnsi="Arial" w:cs="Arial"/>
          <w:sz w:val="22"/>
          <w:szCs w:val="22"/>
        </w:rPr>
        <w:t>, which is absolute and non-</w:t>
      </w:r>
      <w:proofErr w:type="spellStart"/>
      <w:r w:rsidRPr="47D51BD3">
        <w:rPr>
          <w:rFonts w:ascii="Arial" w:eastAsia="Arial" w:hAnsi="Arial" w:cs="Arial"/>
          <w:sz w:val="22"/>
          <w:szCs w:val="22"/>
        </w:rPr>
        <w:t>derogable</w:t>
      </w:r>
      <w:proofErr w:type="spellEnd"/>
      <w:r w:rsidRPr="47D51BD3">
        <w:rPr>
          <w:rFonts w:ascii="Arial" w:eastAsia="Arial" w:hAnsi="Arial" w:cs="Arial"/>
          <w:sz w:val="22"/>
          <w:szCs w:val="22"/>
        </w:rPr>
        <w:t xml:space="preserve"> (</w:t>
      </w:r>
      <w:r w:rsidR="7A8677CE" w:rsidRPr="47D51BD3">
        <w:rPr>
          <w:rFonts w:ascii="Arial" w:eastAsia="Arial" w:hAnsi="Arial" w:cs="Arial"/>
          <w:sz w:val="22"/>
          <w:szCs w:val="22"/>
        </w:rPr>
        <w:t>given direct effect</w:t>
      </w:r>
      <w:r w:rsidR="0D0D163B" w:rsidRPr="47D51BD3">
        <w:rPr>
          <w:rFonts w:ascii="Arial" w:eastAsia="Arial" w:hAnsi="Arial" w:cs="Arial"/>
          <w:sz w:val="22"/>
          <w:szCs w:val="22"/>
        </w:rPr>
        <w:t xml:space="preserve"> through</w:t>
      </w:r>
      <w:r w:rsidRPr="47D51BD3">
        <w:rPr>
          <w:rFonts w:ascii="Arial" w:eastAsia="Arial" w:hAnsi="Arial" w:cs="Arial"/>
          <w:sz w:val="22"/>
          <w:szCs w:val="22"/>
        </w:rPr>
        <w:t xml:space="preserve"> Article 3</w:t>
      </w:r>
      <w:r w:rsidR="592542C7" w:rsidRPr="47D51BD3">
        <w:rPr>
          <w:rFonts w:ascii="Arial" w:eastAsia="Arial" w:hAnsi="Arial" w:cs="Arial"/>
          <w:sz w:val="22"/>
          <w:szCs w:val="22"/>
        </w:rPr>
        <w:t xml:space="preserve"> ECHR</w:t>
      </w:r>
      <w:r w:rsidRPr="47D51BD3">
        <w:rPr>
          <w:rFonts w:ascii="Arial" w:eastAsia="Arial" w:hAnsi="Arial" w:cs="Arial"/>
          <w:sz w:val="22"/>
          <w:szCs w:val="22"/>
        </w:rPr>
        <w:t>). Getting a lateness penalty that could result in a genuine claim being disbelieved or discounted, risks provoking a removal decision which breached Article 3, regardless of why disclosure was late.</w:t>
      </w:r>
      <w:bookmarkStart w:id="9" w:name="_Ref234322107"/>
      <w:r w:rsidR="00651471" w:rsidRPr="47D51BD3">
        <w:rPr>
          <w:rStyle w:val="FootnoteReference"/>
          <w:rFonts w:ascii="Arial" w:eastAsia="Arial" w:hAnsi="Arial" w:cs="Arial"/>
          <w:sz w:val="22"/>
          <w:szCs w:val="22"/>
        </w:rPr>
        <w:footnoteReference w:id="49"/>
      </w:r>
      <w:bookmarkEnd w:id="9"/>
    </w:p>
    <w:p w14:paraId="0F60E3DB" w14:textId="0FBDFDBE"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There is also a positive obligation to identify and protect trafficking victims under Article 4 ECHR and ECAT.</w:t>
      </w:r>
      <w:r w:rsidR="00651471" w:rsidRPr="47D51BD3">
        <w:rPr>
          <w:rStyle w:val="FootnoteReference"/>
          <w:rFonts w:ascii="Arial" w:eastAsia="Arial" w:hAnsi="Arial" w:cs="Arial"/>
          <w:sz w:val="22"/>
          <w:szCs w:val="22"/>
        </w:rPr>
        <w:footnoteReference w:id="50"/>
      </w:r>
      <w:r w:rsidRPr="47D51BD3">
        <w:rPr>
          <w:rFonts w:ascii="Arial" w:eastAsia="Arial" w:hAnsi="Arial" w:cs="Arial"/>
          <w:sz w:val="22"/>
          <w:szCs w:val="22"/>
        </w:rPr>
        <w:t xml:space="preserve"> </w:t>
      </w:r>
      <w:proofErr w:type="spellStart"/>
      <w:r w:rsidRPr="47D51BD3">
        <w:rPr>
          <w:rFonts w:ascii="Arial" w:eastAsia="Arial" w:hAnsi="Arial" w:cs="Arial"/>
          <w:i/>
          <w:sz w:val="22"/>
          <w:szCs w:val="22"/>
        </w:rPr>
        <w:t>Rantsev</w:t>
      </w:r>
      <w:proofErr w:type="spellEnd"/>
      <w:r w:rsidRPr="47D51BD3">
        <w:rPr>
          <w:rFonts w:ascii="Arial" w:eastAsia="Arial" w:hAnsi="Arial" w:cs="Arial"/>
          <w:i/>
          <w:sz w:val="22"/>
          <w:szCs w:val="22"/>
        </w:rPr>
        <w:t xml:space="preserve"> v Cyprus and Russia</w:t>
      </w:r>
      <w:r w:rsidRPr="47D51BD3">
        <w:rPr>
          <w:rFonts w:ascii="Arial" w:eastAsia="Arial" w:hAnsi="Arial" w:cs="Arial"/>
          <w:sz w:val="22"/>
          <w:szCs w:val="22"/>
        </w:rPr>
        <w:t xml:space="preserve"> establishes a positive duty on states to identify potential victims and investigate credible claims, not merely a prohibition on trafficking itself.</w:t>
      </w:r>
      <w:bookmarkStart w:id="10" w:name="_Ref234487017"/>
      <w:r w:rsidR="00651471" w:rsidRPr="47D51BD3">
        <w:rPr>
          <w:rStyle w:val="FootnoteReference"/>
          <w:rFonts w:ascii="Arial" w:eastAsia="Arial" w:hAnsi="Arial" w:cs="Arial"/>
          <w:sz w:val="22"/>
          <w:szCs w:val="22"/>
        </w:rPr>
        <w:footnoteReference w:id="51"/>
      </w:r>
      <w:bookmarkEnd w:id="10"/>
      <w:r w:rsidRPr="47D51BD3">
        <w:rPr>
          <w:rFonts w:ascii="Arial" w:eastAsia="Arial" w:hAnsi="Arial" w:cs="Arial"/>
          <w:sz w:val="22"/>
          <w:szCs w:val="22"/>
        </w:rPr>
        <w:t xml:space="preserve">Article </w:t>
      </w:r>
      <w:r w:rsidR="0E7040D7" w:rsidRPr="47D51BD3">
        <w:rPr>
          <w:rFonts w:ascii="Arial" w:eastAsia="Arial" w:hAnsi="Arial" w:cs="Arial"/>
          <w:sz w:val="22"/>
          <w:szCs w:val="22"/>
        </w:rPr>
        <w:t>13</w:t>
      </w:r>
      <w:r w:rsidRPr="47D51BD3">
        <w:rPr>
          <w:rFonts w:ascii="Arial" w:eastAsia="Arial" w:hAnsi="Arial" w:cs="Arial"/>
          <w:sz w:val="22"/>
          <w:szCs w:val="22"/>
        </w:rPr>
        <w:t xml:space="preserve"> ECAT </w:t>
      </w:r>
      <w:r w:rsidR="66808AD1" w:rsidRPr="47D51BD3">
        <w:rPr>
          <w:rFonts w:ascii="Arial" w:eastAsia="Arial" w:hAnsi="Arial" w:cs="Arial"/>
          <w:sz w:val="22"/>
          <w:szCs w:val="22"/>
        </w:rPr>
        <w:t>on</w:t>
      </w:r>
      <w:r w:rsidRPr="47D51BD3">
        <w:rPr>
          <w:rFonts w:ascii="Arial" w:eastAsia="Arial" w:hAnsi="Arial" w:cs="Arial"/>
          <w:sz w:val="22"/>
          <w:szCs w:val="22"/>
        </w:rPr>
        <w:t xml:space="preserve"> recovery and reflection period is built on the express recognition that early disclosure is often unrealistic for trafficking survivors.</w:t>
      </w:r>
      <w:r w:rsidR="00651471" w:rsidRPr="47D51BD3">
        <w:rPr>
          <w:rStyle w:val="FootnoteReference"/>
          <w:rFonts w:ascii="Arial" w:eastAsia="Arial" w:hAnsi="Arial" w:cs="Arial"/>
          <w:sz w:val="22"/>
          <w:szCs w:val="22"/>
        </w:rPr>
        <w:footnoteReference w:id="52"/>
      </w:r>
      <w:r w:rsidRPr="47D51BD3">
        <w:rPr>
          <w:rFonts w:ascii="Arial" w:eastAsia="Arial" w:hAnsi="Arial" w:cs="Arial"/>
          <w:sz w:val="22"/>
          <w:szCs w:val="22"/>
        </w:rPr>
        <w:t xml:space="preserve"> A scheme that treats late disclosure as presumptively damaging to credibility, rather than triggering further investigation, </w:t>
      </w:r>
      <w:r w:rsidR="3E630BD1" w:rsidRPr="47D51BD3">
        <w:rPr>
          <w:rFonts w:ascii="Arial" w:eastAsia="Arial" w:hAnsi="Arial" w:cs="Arial"/>
          <w:sz w:val="22"/>
          <w:szCs w:val="22"/>
        </w:rPr>
        <w:t>does not sit well</w:t>
      </w:r>
      <w:r w:rsidRPr="47D51BD3">
        <w:rPr>
          <w:rFonts w:ascii="Arial" w:eastAsia="Arial" w:hAnsi="Arial" w:cs="Arial"/>
          <w:sz w:val="22"/>
          <w:szCs w:val="22"/>
        </w:rPr>
        <w:t xml:space="preserve"> with that framework and creates a worrying precedent for how the UK's international obligations towards trafficking survivors are given effect in domestic law.</w:t>
      </w:r>
    </w:p>
    <w:p w14:paraId="13121417" w14:textId="48BAB5BD"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13: Inspections</w:t>
      </w:r>
    </w:p>
    <w:p w14:paraId="37996D6E" w14:textId="28839BDD"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s.13(2): amends the UK Borders Act 2007 to bring the IIAA within the Chief Inspector of Borders and Immigration's remit, adding a new duty requiring the Chief Inspector to specifically consider and report on: (a) accessibility of premises, (b) parties' access to necessary technology, and (c) quality of adjudicator training. s.13(4): creates a dedicated reporting regime with annual reports plus ad hoc reports on request, with a mandatory written response from the IIAA's Chief Executive to each report, both laid before Parliament.</w:t>
      </w:r>
    </w:p>
    <w:p w14:paraId="1407DBD9" w14:textId="31120D1B"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The Chief Inspector's bespoke duty under s.13(2)(c) is limited to naming premises accessibility, technology access, and training quality as mandatory inspection focuses. It does not name </w:t>
      </w:r>
      <w:r w:rsidR="69967B16" w:rsidRPr="47D51BD3">
        <w:rPr>
          <w:rFonts w:ascii="Arial" w:eastAsia="Arial" w:hAnsi="Arial" w:cs="Arial"/>
          <w:sz w:val="22"/>
          <w:szCs w:val="22"/>
        </w:rPr>
        <w:t>other</w:t>
      </w:r>
      <w:r w:rsidR="55B0AD09" w:rsidRPr="47D51BD3">
        <w:rPr>
          <w:rFonts w:ascii="Arial" w:eastAsia="Arial" w:hAnsi="Arial" w:cs="Arial"/>
          <w:sz w:val="22"/>
          <w:szCs w:val="22"/>
        </w:rPr>
        <w:t xml:space="preserve"> </w:t>
      </w:r>
      <w:r w:rsidR="1BF4DB76" w:rsidRPr="47D51BD3">
        <w:rPr>
          <w:rFonts w:ascii="Arial" w:eastAsia="Arial" w:hAnsi="Arial" w:cs="Arial"/>
          <w:sz w:val="22"/>
          <w:szCs w:val="22"/>
        </w:rPr>
        <w:t>i</w:t>
      </w:r>
      <w:r w:rsidR="30A79E75" w:rsidRPr="47D51BD3">
        <w:rPr>
          <w:rFonts w:ascii="Arial" w:eastAsia="Arial" w:hAnsi="Arial" w:cs="Arial"/>
          <w:sz w:val="22"/>
          <w:szCs w:val="22"/>
        </w:rPr>
        <w:t>mportant areas of focus, including</w:t>
      </w:r>
      <w:r w:rsidRPr="47D51BD3">
        <w:rPr>
          <w:rFonts w:ascii="Arial" w:eastAsia="Arial" w:hAnsi="Arial" w:cs="Arial"/>
          <w:sz w:val="22"/>
          <w:szCs w:val="22"/>
        </w:rPr>
        <w:t xml:space="preserve"> independence, fairness of outcomes, or consistency of decision-making as matters the Chief Inspector must specifically consider.</w:t>
      </w:r>
    </w:p>
    <w:p w14:paraId="0C89C0DE" w14:textId="36D7F363"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15: Power to specify cases to be heard by First-tier Tribunal instead of IIAA</w:t>
      </w:r>
    </w:p>
    <w:p w14:paraId="1BB8BE7F" w14:textId="7F94BAF3"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s.15 creates a transitional power letting the Secretary of State keep specified case types with the FTT during rollout, including a power to reassign an already-started case between the IIAA and FTT mid-proceedings (even via the Upper Tribunal).</w:t>
      </w:r>
    </w:p>
    <w:p w14:paraId="1970CA4F" w14:textId="580D9BE0"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We flag that mid-proceedings reassignment means a person's case can move between two bodies with </w:t>
      </w:r>
      <w:r w:rsidR="5CE713AE" w:rsidRPr="47D51BD3">
        <w:rPr>
          <w:rFonts w:ascii="Arial" w:eastAsia="Arial" w:hAnsi="Arial" w:cs="Arial"/>
          <w:sz w:val="22"/>
          <w:szCs w:val="22"/>
        </w:rPr>
        <w:t>very</w:t>
      </w:r>
      <w:r w:rsidRPr="47D51BD3">
        <w:rPr>
          <w:rFonts w:ascii="Arial" w:eastAsia="Arial" w:hAnsi="Arial" w:cs="Arial"/>
          <w:sz w:val="22"/>
          <w:szCs w:val="22"/>
        </w:rPr>
        <w:t xml:space="preserve"> different procedure rules, forms, and practical experience of "fairness" as defined under s.1(5), purely </w:t>
      </w:r>
      <w:r w:rsidR="3B4313C5" w:rsidRPr="47D51BD3">
        <w:rPr>
          <w:rFonts w:ascii="Arial" w:eastAsia="Arial" w:hAnsi="Arial" w:cs="Arial"/>
          <w:sz w:val="22"/>
          <w:szCs w:val="22"/>
        </w:rPr>
        <w:t>because</w:t>
      </w:r>
      <w:r w:rsidRPr="47D51BD3">
        <w:rPr>
          <w:rFonts w:ascii="Arial" w:eastAsia="Arial" w:hAnsi="Arial" w:cs="Arial"/>
          <w:sz w:val="22"/>
          <w:szCs w:val="22"/>
        </w:rPr>
        <w:t xml:space="preserve"> of timing </w:t>
      </w:r>
      <w:r w:rsidR="3B4313C5" w:rsidRPr="47D51BD3">
        <w:rPr>
          <w:rFonts w:ascii="Arial" w:eastAsia="Arial" w:hAnsi="Arial" w:cs="Arial"/>
          <w:sz w:val="22"/>
          <w:szCs w:val="22"/>
        </w:rPr>
        <w:t>and not the nature of</w:t>
      </w:r>
      <w:r w:rsidRPr="47D51BD3">
        <w:rPr>
          <w:rFonts w:ascii="Arial" w:eastAsia="Arial" w:hAnsi="Arial" w:cs="Arial"/>
          <w:sz w:val="22"/>
          <w:szCs w:val="22"/>
        </w:rPr>
        <w:t xml:space="preserve"> their case. This creates a real risk of procedural disruption and discontinuity of representation for individuals caught in the transition window.</w:t>
      </w:r>
    </w:p>
    <w:p w14:paraId="170DE6B5" w14:textId="4A672534"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16: Power to make consequential provision</w:t>
      </w:r>
    </w:p>
    <w:p w14:paraId="0B587577" w14:textId="2786F276"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This is a broad Henry VIII power: the IIAA is swept by default into every existing statutory reference to "a tribunal," with carve-outs only by regulation. The power reaches primary legislation passed</w:t>
      </w:r>
      <w:r w:rsidR="5AEE9A1C" w:rsidRPr="47D51BD3">
        <w:rPr>
          <w:rFonts w:ascii="Arial" w:eastAsia="Arial" w:hAnsi="Arial" w:cs="Arial"/>
          <w:sz w:val="22"/>
          <w:szCs w:val="22"/>
        </w:rPr>
        <w:t xml:space="preserve"> later</w:t>
      </w:r>
      <w:r w:rsidRPr="47D51BD3">
        <w:rPr>
          <w:rFonts w:ascii="Arial" w:eastAsia="Arial" w:hAnsi="Arial" w:cs="Arial"/>
          <w:sz w:val="22"/>
          <w:szCs w:val="22"/>
        </w:rPr>
        <w:t xml:space="preserve"> in this parliamentary session, and applies to devolved legislation, which is a striking scope for a power exercised without a parliamentary vote.</w:t>
      </w:r>
      <w:r w:rsidR="00651471" w:rsidRPr="47D51BD3">
        <w:rPr>
          <w:rStyle w:val="FootnoteReference"/>
          <w:rFonts w:ascii="Arial" w:eastAsia="Arial" w:hAnsi="Arial" w:cs="Arial"/>
          <w:sz w:val="22"/>
          <w:szCs w:val="22"/>
        </w:rPr>
        <w:footnoteReference w:id="53"/>
      </w:r>
    </w:p>
    <w:p w14:paraId="7E4A21AC" w14:textId="493A1E49" w:rsidR="00651471" w:rsidRPr="009908E8" w:rsidRDefault="0603F9AF"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Schedules </w:t>
      </w:r>
      <w:r w:rsidR="664746DD" w:rsidRPr="47D51BD3">
        <w:rPr>
          <w:rFonts w:ascii="Arial" w:eastAsia="Arial" w:hAnsi="Arial" w:cs="Arial"/>
          <w:b/>
          <w:color w:val="404A68"/>
          <w:sz w:val="22"/>
          <w:szCs w:val="22"/>
        </w:rPr>
        <w:t>1-3</w:t>
      </w:r>
    </w:p>
    <w:p w14:paraId="7CFAD07F" w14:textId="75968A53"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 xml:space="preserve">Paragraph 3(3) to Schedule 2 gives the Secretary of State a unilateral removal power over non-executive members (Chair, Professional Standards Officer). Whether an equivalent removal power exists over executive members, so the Chief Executive, Chief Appeals Officer, and the adjudicators who </w:t>
      </w:r>
      <w:proofErr w:type="gramStart"/>
      <w:r w:rsidRPr="47D51BD3">
        <w:rPr>
          <w:rFonts w:ascii="Arial" w:eastAsia="Arial" w:hAnsi="Arial" w:cs="Arial"/>
          <w:sz w:val="22"/>
          <w:szCs w:val="22"/>
        </w:rPr>
        <w:t>actually decide</w:t>
      </w:r>
      <w:proofErr w:type="gramEnd"/>
      <w:r w:rsidRPr="47D51BD3">
        <w:rPr>
          <w:rFonts w:ascii="Arial" w:eastAsia="Arial" w:hAnsi="Arial" w:cs="Arial"/>
          <w:sz w:val="22"/>
          <w:szCs w:val="22"/>
        </w:rPr>
        <w:t xml:space="preserve"> cases, </w:t>
      </w:r>
      <w:r w:rsidR="6D9154AF" w:rsidRPr="47D51BD3">
        <w:rPr>
          <w:rFonts w:ascii="Arial" w:eastAsia="Arial" w:hAnsi="Arial" w:cs="Arial"/>
          <w:sz w:val="22"/>
          <w:szCs w:val="22"/>
        </w:rPr>
        <w:t xml:space="preserve">is not </w:t>
      </w:r>
      <w:r w:rsidRPr="47D51BD3">
        <w:rPr>
          <w:rFonts w:ascii="Arial" w:eastAsia="Arial" w:hAnsi="Arial" w:cs="Arial"/>
          <w:sz w:val="22"/>
          <w:szCs w:val="22"/>
        </w:rPr>
        <w:t xml:space="preserve">confirmed in Schedule 2. If adjudicators </w:t>
      </w:r>
      <w:r w:rsidR="2E90F9D3" w:rsidRPr="47D51BD3">
        <w:rPr>
          <w:rFonts w:ascii="Arial" w:eastAsia="Arial" w:hAnsi="Arial" w:cs="Arial"/>
          <w:sz w:val="22"/>
          <w:szCs w:val="22"/>
        </w:rPr>
        <w:t>could</w:t>
      </w:r>
      <w:r w:rsidRPr="47D51BD3">
        <w:rPr>
          <w:rFonts w:ascii="Arial" w:eastAsia="Arial" w:hAnsi="Arial" w:cs="Arial"/>
          <w:sz w:val="22"/>
          <w:szCs w:val="22"/>
        </w:rPr>
        <w:t xml:space="preserve"> be removed by the Chief Executive (who also appoints them) on a broad discretionary test, that </w:t>
      </w:r>
      <w:r w:rsidR="2E90F9D3" w:rsidRPr="47D51BD3">
        <w:rPr>
          <w:rFonts w:ascii="Arial" w:eastAsia="Arial" w:hAnsi="Arial" w:cs="Arial"/>
          <w:sz w:val="22"/>
          <w:szCs w:val="22"/>
        </w:rPr>
        <w:t>would be</w:t>
      </w:r>
      <w:r w:rsidRPr="47D51BD3">
        <w:rPr>
          <w:rFonts w:ascii="Arial" w:eastAsia="Arial" w:hAnsi="Arial" w:cs="Arial"/>
          <w:sz w:val="22"/>
          <w:szCs w:val="22"/>
        </w:rPr>
        <w:t xml:space="preserve"> a bigger independence concern than the non-executive removal power already flagged, since it would mean that adjudicators are within reach of a removal power exercised by someone in the same appointment chain as the Secretary of State.</w:t>
      </w:r>
    </w:p>
    <w:p w14:paraId="3D1D92A5" w14:textId="3CF7C921"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We are also concerned about Schedule 3, para 7(a), which states that IIAA Procedure Rules may make provision for dealing with matters without a hearing. Para 8 also says that proceedings may take place at the request of one party even though the other has had no notice.</w:t>
      </w:r>
    </w:p>
    <w:p w14:paraId="328F9D2F" w14:textId="3DA4C40C"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The risk of mistakes at first instance and the serious consequences of wrong decisions make having safeguards against no-hearing and no-notice proceedings essential. Removing them undermines the fairness of the appeal system.</w:t>
      </w:r>
    </w:p>
    <w:p w14:paraId="4A8DD45D" w14:textId="6CD02893" w:rsidR="00651471" w:rsidRPr="009908E8" w:rsidRDefault="00692322" w:rsidP="00AE00D5">
      <w:pPr>
        <w:pStyle w:val="ListParagraph"/>
        <w:numPr>
          <w:ilvl w:val="0"/>
          <w:numId w:val="3"/>
        </w:numPr>
        <w:spacing w:after="80" w:line="276" w:lineRule="auto"/>
        <w:contextualSpacing w:val="0"/>
        <w:jc w:val="both"/>
        <w:rPr>
          <w:rFonts w:ascii="Arial" w:eastAsia="Arial" w:hAnsi="Arial" w:cs="Arial"/>
          <w:sz w:val="22"/>
          <w:szCs w:val="22"/>
        </w:rPr>
      </w:pPr>
      <w:r w:rsidRPr="00692322">
        <w:rPr>
          <w:rFonts w:ascii="Arial" w:eastAsia="Arial" w:hAnsi="Arial" w:cs="Arial"/>
          <w:sz w:val="22"/>
          <w:szCs w:val="22"/>
        </w:rPr>
        <w:t>Although Article 6 ECHR does not apply to immigration decisions</w:t>
      </w:r>
      <w:r w:rsidR="00435B17">
        <w:rPr>
          <w:rStyle w:val="FootnoteReference"/>
          <w:rFonts w:ascii="Arial" w:eastAsia="Arial" w:hAnsi="Arial" w:cs="Arial"/>
          <w:sz w:val="22"/>
          <w:szCs w:val="22"/>
        </w:rPr>
        <w:footnoteReference w:id="54"/>
      </w:r>
      <w:r w:rsidR="00940BCA">
        <w:rPr>
          <w:rFonts w:ascii="Arial" w:eastAsia="Arial" w:hAnsi="Arial" w:cs="Arial"/>
          <w:sz w:val="22"/>
          <w:szCs w:val="22"/>
        </w:rPr>
        <w:t xml:space="preserve"> </w:t>
      </w:r>
      <w:r w:rsidRPr="00692322">
        <w:rPr>
          <w:rFonts w:ascii="Arial" w:eastAsia="Arial" w:hAnsi="Arial" w:cs="Arial"/>
          <w:sz w:val="22"/>
          <w:szCs w:val="22"/>
        </w:rPr>
        <w:t>Article 8 imposes its own procedural requirements, including the right to participate effectively in the decision-making process</w:t>
      </w:r>
      <w:r w:rsidR="00997414">
        <w:rPr>
          <w:rFonts w:ascii="Arial" w:eastAsia="Arial" w:hAnsi="Arial" w:cs="Arial"/>
          <w:sz w:val="22"/>
          <w:szCs w:val="22"/>
        </w:rPr>
        <w:t>.</w:t>
      </w:r>
      <w:r w:rsidR="00997414">
        <w:rPr>
          <w:rStyle w:val="FootnoteReference"/>
          <w:rFonts w:ascii="Arial" w:eastAsia="Arial" w:hAnsi="Arial" w:cs="Arial"/>
          <w:sz w:val="22"/>
          <w:szCs w:val="22"/>
        </w:rPr>
        <w:footnoteReference w:id="55"/>
      </w:r>
      <w:r w:rsidR="00997414">
        <w:rPr>
          <w:rFonts w:ascii="Arial" w:eastAsia="Arial" w:hAnsi="Arial" w:cs="Arial"/>
          <w:sz w:val="22"/>
          <w:szCs w:val="22"/>
        </w:rPr>
        <w:t xml:space="preserve"> </w:t>
      </w:r>
      <w:r w:rsidRPr="00692322">
        <w:rPr>
          <w:rFonts w:ascii="Arial" w:eastAsia="Arial" w:hAnsi="Arial" w:cs="Arial"/>
          <w:sz w:val="22"/>
          <w:szCs w:val="22"/>
        </w:rPr>
        <w:t>A procedure rule permitting proceedings without a hearing, or at one party's request without notice to the other, risks falling short of this requirement in individual cases.</w:t>
      </w:r>
    </w:p>
    <w:p w14:paraId="3E18C7C8" w14:textId="45966F28" w:rsidR="00651471" w:rsidRPr="009908E8"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We also highlight that nothing in Schedule 3 requires the IIAA to proactively identify vulnerability; the burden of identifying and raising vulnerability needs falls entirely on the appellant. This compounds the representation crisis already evidenced in this briefing.</w:t>
      </w:r>
    </w:p>
    <w:p w14:paraId="57B50EE2" w14:textId="178A7596" w:rsidR="00651471" w:rsidRDefault="0603F9AF" w:rsidP="00AE00D5">
      <w:pPr>
        <w:pStyle w:val="ListParagraph"/>
        <w:numPr>
          <w:ilvl w:val="0"/>
          <w:numId w:val="3"/>
        </w:numPr>
        <w:spacing w:after="80" w:line="276" w:lineRule="auto"/>
        <w:contextualSpacing w:val="0"/>
        <w:jc w:val="both"/>
        <w:rPr>
          <w:rFonts w:ascii="Arial" w:eastAsia="Arial" w:hAnsi="Arial" w:cs="Arial"/>
          <w:sz w:val="22"/>
          <w:szCs w:val="22"/>
        </w:rPr>
      </w:pPr>
      <w:r w:rsidRPr="47D51BD3">
        <w:rPr>
          <w:rFonts w:ascii="Arial" w:eastAsia="Arial" w:hAnsi="Arial" w:cs="Arial"/>
          <w:sz w:val="22"/>
          <w:szCs w:val="22"/>
        </w:rPr>
        <w:t>Significant policy detail throughout the Bill is left to regulations not yet published, rather than being set out in the Bill itself. Parliament and stakeholders should be able to scrutinise these details before the Bill completes its passage.</w:t>
      </w:r>
    </w:p>
    <w:p w14:paraId="59E16C52" w14:textId="7A65A510" w:rsidR="00491B7A" w:rsidRPr="009908E8" w:rsidRDefault="005D6109" w:rsidP="00AE00D5">
      <w:pPr>
        <w:pStyle w:val="ListParagraph"/>
        <w:numPr>
          <w:ilvl w:val="0"/>
          <w:numId w:val="3"/>
        </w:numPr>
        <w:spacing w:after="80" w:line="276" w:lineRule="auto"/>
        <w:contextualSpacing w:val="0"/>
        <w:jc w:val="both"/>
        <w:rPr>
          <w:rFonts w:ascii="Arial" w:eastAsia="Arial" w:hAnsi="Arial" w:cs="Arial"/>
          <w:sz w:val="22"/>
          <w:szCs w:val="22"/>
        </w:rPr>
      </w:pPr>
      <w:r>
        <w:rPr>
          <w:rFonts w:ascii="Arial" w:eastAsia="Arial" w:hAnsi="Arial" w:cs="Arial"/>
          <w:sz w:val="22"/>
          <w:szCs w:val="22"/>
        </w:rPr>
        <w:t xml:space="preserve">We also note that s.1(2) </w:t>
      </w:r>
      <w:r w:rsidR="003E61A7">
        <w:rPr>
          <w:rFonts w:ascii="Arial" w:eastAsia="Arial" w:hAnsi="Arial" w:cs="Arial"/>
          <w:sz w:val="22"/>
          <w:szCs w:val="22"/>
        </w:rPr>
        <w:t>transfers</w:t>
      </w:r>
      <w:r>
        <w:rPr>
          <w:rFonts w:ascii="Arial" w:eastAsia="Arial" w:hAnsi="Arial" w:cs="Arial"/>
          <w:sz w:val="22"/>
          <w:szCs w:val="22"/>
        </w:rPr>
        <w:t xml:space="preserve"> residual EEA/EU-exit citiz</w:t>
      </w:r>
      <w:r w:rsidR="003A0793">
        <w:rPr>
          <w:rFonts w:ascii="Arial" w:eastAsia="Arial" w:hAnsi="Arial" w:cs="Arial"/>
          <w:sz w:val="22"/>
          <w:szCs w:val="22"/>
        </w:rPr>
        <w:t>ens’ rights appeals</w:t>
      </w:r>
      <w:r w:rsidR="00A30098">
        <w:rPr>
          <w:rFonts w:ascii="Arial" w:eastAsia="Arial" w:hAnsi="Arial" w:cs="Arial"/>
          <w:sz w:val="22"/>
          <w:szCs w:val="22"/>
        </w:rPr>
        <w:t>,</w:t>
      </w:r>
      <w:r w:rsidR="003A0793">
        <w:rPr>
          <w:rFonts w:ascii="Arial" w:eastAsia="Arial" w:hAnsi="Arial" w:cs="Arial"/>
          <w:sz w:val="22"/>
          <w:szCs w:val="22"/>
        </w:rPr>
        <w:t xml:space="preserve"> into the IIAA. Article 4 of the EU-UK Withdrawal Agreement requires these to be interpreted in line with CJEU case law, which </w:t>
      </w:r>
      <w:r w:rsidR="00155F9C">
        <w:rPr>
          <w:rFonts w:ascii="Arial" w:eastAsia="Arial" w:hAnsi="Arial" w:cs="Arial"/>
          <w:sz w:val="22"/>
          <w:szCs w:val="22"/>
        </w:rPr>
        <w:t>consistently</w:t>
      </w:r>
      <w:r w:rsidR="003A0793">
        <w:rPr>
          <w:rFonts w:ascii="Arial" w:eastAsia="Arial" w:hAnsi="Arial" w:cs="Arial"/>
          <w:sz w:val="22"/>
          <w:szCs w:val="22"/>
        </w:rPr>
        <w:t xml:space="preserve"> treats judicial independence as essential to lawful appeals system</w:t>
      </w:r>
      <w:r w:rsidR="00796FF4">
        <w:rPr>
          <w:rStyle w:val="FootnoteReference"/>
          <w:rFonts w:ascii="Arial" w:eastAsia="Arial" w:hAnsi="Arial" w:cs="Arial"/>
          <w:sz w:val="22"/>
          <w:szCs w:val="22"/>
        </w:rPr>
        <w:footnoteReference w:id="56"/>
      </w:r>
      <w:r w:rsidR="00155F9C">
        <w:rPr>
          <w:rFonts w:ascii="Arial" w:eastAsia="Arial" w:hAnsi="Arial" w:cs="Arial"/>
          <w:sz w:val="22"/>
          <w:szCs w:val="22"/>
        </w:rPr>
        <w:t xml:space="preserve">. Given our concerns raised above, this may fall short of that standard. </w:t>
      </w:r>
    </w:p>
    <w:p w14:paraId="08836D00" w14:textId="6ABC452E" w:rsidR="005342E2" w:rsidRPr="009908E8" w:rsidRDefault="005342E2" w:rsidP="00F33CDC">
      <w:pPr>
        <w:spacing w:line="276" w:lineRule="auto"/>
        <w:rPr>
          <w:rFonts w:ascii="Arial" w:eastAsia="Arial" w:hAnsi="Arial" w:cs="Arial"/>
          <w:sz w:val="22"/>
          <w:szCs w:val="22"/>
        </w:rPr>
      </w:pPr>
    </w:p>
    <w:p w14:paraId="756CFB5D" w14:textId="543D1602" w:rsidR="00FA7FEC" w:rsidRPr="009908E8" w:rsidRDefault="0603F9AF" w:rsidP="1B9E9B8D">
      <w:pPr>
        <w:spacing w:line="276" w:lineRule="auto"/>
        <w:rPr>
          <w:rFonts w:ascii="Arial" w:eastAsia="Arial" w:hAnsi="Arial" w:cs="Arial"/>
          <w:b/>
          <w:color w:val="404A68"/>
          <w:sz w:val="22"/>
          <w:szCs w:val="22"/>
          <w:lang w:val="en-US"/>
        </w:rPr>
      </w:pPr>
      <w:r w:rsidRPr="47D51BD3">
        <w:rPr>
          <w:rFonts w:ascii="Arial" w:eastAsia="Arial" w:hAnsi="Arial" w:cs="Arial"/>
          <w:b/>
          <w:color w:val="404A68"/>
          <w:sz w:val="22"/>
          <w:szCs w:val="22"/>
          <w:lang w:val="en-US"/>
        </w:rPr>
        <w:t xml:space="preserve">Part 2 Article 8 of the European Convention on Human Rights </w:t>
      </w:r>
    </w:p>
    <w:p w14:paraId="5F2D8EE7" w14:textId="1420FEBA" w:rsidR="00FA7FEC" w:rsidRPr="009908E8" w:rsidRDefault="00FA7FEC" w:rsidP="1B9E9B8D">
      <w:pPr>
        <w:spacing w:line="276" w:lineRule="auto"/>
        <w:rPr>
          <w:rFonts w:ascii="Arial" w:eastAsia="Arial" w:hAnsi="Arial" w:cs="Arial"/>
          <w:b/>
          <w:color w:val="404A68"/>
          <w:sz w:val="22"/>
          <w:szCs w:val="22"/>
          <w:lang w:val="en-US"/>
        </w:rPr>
      </w:pPr>
    </w:p>
    <w:p w14:paraId="2E3A6AE7" w14:textId="0815DC71" w:rsidR="00651471" w:rsidRPr="009908E8" w:rsidRDefault="0603F9AF" w:rsidP="1B9E9B8D">
      <w:pPr>
        <w:spacing w:line="276" w:lineRule="auto"/>
        <w:rPr>
          <w:rFonts w:ascii="Arial" w:eastAsia="Arial" w:hAnsi="Arial" w:cs="Arial"/>
          <w:b/>
          <w:color w:val="404A68"/>
          <w:sz w:val="22"/>
          <w:szCs w:val="22"/>
          <w:lang w:val="en-US"/>
        </w:rPr>
      </w:pPr>
      <w:r w:rsidRPr="47D51BD3">
        <w:rPr>
          <w:rFonts w:ascii="Arial" w:eastAsia="Arial" w:hAnsi="Arial" w:cs="Arial"/>
          <w:b/>
          <w:color w:val="404A68"/>
          <w:sz w:val="22"/>
          <w:szCs w:val="22"/>
        </w:rPr>
        <w:t>What Part 2 does</w:t>
      </w:r>
    </w:p>
    <w:p w14:paraId="1223EAA0" w14:textId="683AA28C" w:rsidR="00651471" w:rsidRPr="009908E8" w:rsidRDefault="0603F9AF" w:rsidP="00AE00D5">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Part 2 rewrites how Article 8 ECHR, the right to respect for private and family life, is applied in immigration and deportation cases.</w:t>
      </w:r>
      <w:r w:rsidR="00651471" w:rsidRPr="47D51BD3">
        <w:rPr>
          <w:rStyle w:val="FootnoteReference"/>
          <w:rFonts w:ascii="Arial" w:eastAsia="Arial" w:hAnsi="Arial" w:cs="Arial"/>
          <w:sz w:val="22"/>
          <w:szCs w:val="22"/>
        </w:rPr>
        <w:footnoteReference w:id="57"/>
      </w:r>
      <w:r w:rsidRPr="47D51BD3">
        <w:rPr>
          <w:rFonts w:ascii="Arial" w:eastAsia="Arial" w:hAnsi="Arial" w:cs="Arial"/>
          <w:sz w:val="22"/>
          <w:szCs w:val="22"/>
        </w:rPr>
        <w:t xml:space="preserve"> It does not, and cannot, alter Article 8 itself, as that is an international treaty right, but it changes how UK domestic law interprets and applies it. Clause 17 creates a new claim type allowing a person in the UK to bring an Article 8 claim on behalf of a family member abroad. Clauses 18 and 19 </w:t>
      </w:r>
      <w:r w:rsidR="00704C14">
        <w:rPr>
          <w:rFonts w:ascii="Arial" w:eastAsia="Arial" w:hAnsi="Arial" w:cs="Arial"/>
          <w:sz w:val="22"/>
          <w:szCs w:val="22"/>
        </w:rPr>
        <w:t xml:space="preserve">rigidly </w:t>
      </w:r>
      <w:r w:rsidR="00C64293">
        <w:rPr>
          <w:rFonts w:ascii="Arial" w:eastAsia="Arial" w:hAnsi="Arial" w:cs="Arial"/>
          <w:sz w:val="22"/>
          <w:szCs w:val="22"/>
        </w:rPr>
        <w:t>codify</w:t>
      </w:r>
      <w:r w:rsidRPr="47D51BD3">
        <w:rPr>
          <w:rFonts w:ascii="Arial" w:eastAsia="Arial" w:hAnsi="Arial" w:cs="Arial"/>
          <w:sz w:val="22"/>
          <w:szCs w:val="22"/>
        </w:rPr>
        <w:t xml:space="preserve">, respectively, the threshold test for whether "family life" exists at </w:t>
      </w:r>
      <w:proofErr w:type="gramStart"/>
      <w:r w:rsidRPr="47D51BD3">
        <w:rPr>
          <w:rFonts w:ascii="Arial" w:eastAsia="Arial" w:hAnsi="Arial" w:cs="Arial"/>
          <w:sz w:val="22"/>
          <w:szCs w:val="22"/>
        </w:rPr>
        <w:t>all, and</w:t>
      </w:r>
      <w:proofErr w:type="gramEnd"/>
      <w:r w:rsidRPr="47D51BD3">
        <w:rPr>
          <w:rFonts w:ascii="Arial" w:eastAsia="Arial" w:hAnsi="Arial" w:cs="Arial"/>
          <w:sz w:val="22"/>
          <w:szCs w:val="22"/>
        </w:rPr>
        <w:t xml:space="preserve"> </w:t>
      </w:r>
      <w:r w:rsidR="00C64293">
        <w:rPr>
          <w:rFonts w:ascii="Arial" w:eastAsia="Arial" w:hAnsi="Arial" w:cs="Arial"/>
          <w:sz w:val="22"/>
          <w:szCs w:val="22"/>
        </w:rPr>
        <w:t>further limit the</w:t>
      </w:r>
      <w:r w:rsidRPr="47D51BD3">
        <w:rPr>
          <w:rFonts w:ascii="Arial" w:eastAsia="Arial" w:hAnsi="Arial" w:cs="Arial"/>
          <w:sz w:val="22"/>
          <w:szCs w:val="22"/>
        </w:rPr>
        <w:t xml:space="preserve"> weight various factors carry once it does. Clause 20 substantially widens the pool of people to whom the toughest deportation test applies.</w:t>
      </w:r>
    </w:p>
    <w:p w14:paraId="06ECB347" w14:textId="5110710C"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Policy context: the family reunion suspension</w:t>
      </w:r>
    </w:p>
    <w:p w14:paraId="41A65248" w14:textId="382E4DDF" w:rsidR="00651471" w:rsidRPr="009908E8" w:rsidRDefault="0603F9AF" w:rsidP="00AE00D5">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Since 4 September 2025, the dedicated Refugee Family Reunion route has been suspended,</w:t>
      </w:r>
      <w:r w:rsidR="00651471" w:rsidRPr="47D51BD3">
        <w:rPr>
          <w:rStyle w:val="FootnoteReference"/>
          <w:rFonts w:ascii="Arial" w:eastAsia="Arial" w:hAnsi="Arial" w:cs="Arial"/>
          <w:sz w:val="22"/>
          <w:szCs w:val="22"/>
        </w:rPr>
        <w:footnoteReference w:id="58"/>
      </w:r>
      <w:r w:rsidRPr="47D51BD3">
        <w:rPr>
          <w:rFonts w:ascii="Arial" w:eastAsia="Arial" w:hAnsi="Arial" w:cs="Arial"/>
          <w:sz w:val="22"/>
          <w:szCs w:val="22"/>
        </w:rPr>
        <w:t xml:space="preserve"> with reopening initially expected in spring 2026</w:t>
      </w:r>
      <w:r w:rsidR="00651471" w:rsidRPr="47D51BD3">
        <w:rPr>
          <w:rStyle w:val="FootnoteReference"/>
          <w:rFonts w:ascii="Arial" w:eastAsia="Arial" w:hAnsi="Arial" w:cs="Arial"/>
          <w:sz w:val="22"/>
          <w:szCs w:val="22"/>
        </w:rPr>
        <w:footnoteReference w:id="59"/>
      </w:r>
      <w:r w:rsidRPr="47D51BD3">
        <w:rPr>
          <w:rFonts w:ascii="Arial" w:eastAsia="Arial" w:hAnsi="Arial" w:cs="Arial"/>
          <w:sz w:val="22"/>
          <w:szCs w:val="22"/>
        </w:rPr>
        <w:t xml:space="preserve"> (and now delayed) under stricter conditions, including a waiting period and contribution/integration requirements. While suspended, refugees seeking to bring a partner or child to join them must apply under Appendix FM, the standard family visa route, requiring a minimum sponsor income of approximately £29,000, English language proficiency, adequate accommodation without recourse to public funds, and application fees that can exceed £5,000 for a family with multiple members.</w:t>
      </w:r>
      <w:r w:rsidR="06B694EC" w:rsidRPr="47D51BD3">
        <w:rPr>
          <w:rStyle w:val="FootnoteReference"/>
          <w:rFonts w:ascii="Arial" w:eastAsia="Arial" w:hAnsi="Arial" w:cs="Arial"/>
          <w:sz w:val="22"/>
          <w:szCs w:val="22"/>
        </w:rPr>
        <w:t xml:space="preserve"> </w:t>
      </w:r>
      <w:r w:rsidR="00651471" w:rsidRPr="47D51BD3">
        <w:rPr>
          <w:rStyle w:val="FootnoteReference"/>
          <w:rFonts w:ascii="Arial" w:eastAsia="Arial" w:hAnsi="Arial" w:cs="Arial"/>
          <w:sz w:val="22"/>
          <w:szCs w:val="22"/>
        </w:rPr>
        <w:footnoteReference w:id="60"/>
      </w:r>
      <w:r w:rsidRPr="47D51BD3">
        <w:rPr>
          <w:rFonts w:ascii="Arial" w:eastAsia="Arial" w:hAnsi="Arial" w:cs="Arial"/>
          <w:sz w:val="22"/>
          <w:szCs w:val="22"/>
        </w:rPr>
        <w:t xml:space="preserve"> These requirements are, for many newly recognised refugees, unachievable in practice.</w:t>
      </w:r>
      <w:r w:rsidR="00651471" w:rsidRPr="47D51BD3">
        <w:rPr>
          <w:rStyle w:val="FootnoteReference"/>
          <w:rFonts w:ascii="Arial" w:eastAsia="Arial" w:hAnsi="Arial" w:cs="Arial"/>
          <w:sz w:val="22"/>
          <w:szCs w:val="22"/>
        </w:rPr>
        <w:footnoteReference w:id="61"/>
      </w:r>
      <w:r w:rsidRPr="47D51BD3">
        <w:rPr>
          <w:rFonts w:ascii="Arial" w:eastAsia="Arial" w:hAnsi="Arial" w:cs="Arial"/>
          <w:sz w:val="22"/>
          <w:szCs w:val="22"/>
        </w:rPr>
        <w:t xml:space="preserve"> It is important to remember</w:t>
      </w:r>
      <w:r w:rsidR="01C5EDA0" w:rsidRPr="47D51BD3">
        <w:rPr>
          <w:rFonts w:ascii="Arial" w:eastAsia="Arial" w:hAnsi="Arial" w:cs="Arial"/>
          <w:sz w:val="22"/>
          <w:szCs w:val="22"/>
        </w:rPr>
        <w:t xml:space="preserve"> that</w:t>
      </w:r>
      <w:r w:rsidRPr="47D51BD3">
        <w:rPr>
          <w:rFonts w:ascii="Arial" w:eastAsia="Arial" w:hAnsi="Arial" w:cs="Arial"/>
          <w:sz w:val="22"/>
          <w:szCs w:val="22"/>
        </w:rPr>
        <w:t xml:space="preserve"> people who seek protection in the UK are people who have fled from risk</w:t>
      </w:r>
      <w:r w:rsidR="37D2AEE8" w:rsidRPr="47D51BD3">
        <w:rPr>
          <w:rFonts w:ascii="Arial" w:eastAsia="Arial" w:hAnsi="Arial" w:cs="Arial"/>
          <w:sz w:val="22"/>
          <w:szCs w:val="22"/>
        </w:rPr>
        <w:t>s</w:t>
      </w:r>
      <w:r w:rsidRPr="47D51BD3">
        <w:rPr>
          <w:rFonts w:ascii="Arial" w:eastAsia="Arial" w:hAnsi="Arial" w:cs="Arial"/>
          <w:sz w:val="22"/>
          <w:szCs w:val="22"/>
        </w:rPr>
        <w:t xml:space="preserve"> to their lives</w:t>
      </w:r>
      <w:r w:rsidR="37D2AEE8" w:rsidRPr="47D51BD3">
        <w:rPr>
          <w:rFonts w:ascii="Arial" w:eastAsia="Arial" w:hAnsi="Arial" w:cs="Arial"/>
          <w:sz w:val="22"/>
          <w:szCs w:val="22"/>
        </w:rPr>
        <w:t>, t</w:t>
      </w:r>
      <w:r w:rsidRPr="47D51BD3">
        <w:rPr>
          <w:rFonts w:ascii="Arial" w:eastAsia="Arial" w:hAnsi="Arial" w:cs="Arial"/>
          <w:sz w:val="22"/>
          <w:szCs w:val="22"/>
        </w:rPr>
        <w:t>hey have not left their family members behind through choice.</w:t>
      </w:r>
      <w:r w:rsidR="00651471" w:rsidRPr="47D51BD3">
        <w:rPr>
          <w:rStyle w:val="FootnoteReference"/>
          <w:rFonts w:ascii="Arial" w:eastAsia="Arial" w:hAnsi="Arial" w:cs="Arial"/>
          <w:sz w:val="22"/>
          <w:szCs w:val="22"/>
        </w:rPr>
        <w:footnoteReference w:id="62"/>
      </w:r>
      <w:r w:rsidRPr="47D51BD3">
        <w:rPr>
          <w:rFonts w:ascii="Arial" w:eastAsia="Arial" w:hAnsi="Arial" w:cs="Arial"/>
          <w:sz w:val="22"/>
          <w:szCs w:val="22"/>
        </w:rPr>
        <w:t xml:space="preserve"> People are forced to flee due to reasons including persecution, human right violations, conflict, and civil unrest.</w:t>
      </w:r>
      <w:r w:rsidR="00651471" w:rsidRPr="47D51BD3">
        <w:rPr>
          <w:rStyle w:val="FootnoteReference"/>
          <w:rFonts w:ascii="Arial" w:eastAsia="Arial" w:hAnsi="Arial" w:cs="Arial"/>
          <w:sz w:val="22"/>
          <w:szCs w:val="22"/>
        </w:rPr>
        <w:footnoteReference w:id="63"/>
      </w:r>
      <w:r w:rsidR="00DF0BD7">
        <w:rPr>
          <w:rFonts w:ascii="Arial" w:eastAsia="Arial" w:hAnsi="Arial" w:cs="Arial"/>
          <w:sz w:val="22"/>
          <w:szCs w:val="22"/>
        </w:rPr>
        <w:t xml:space="preserve"> </w:t>
      </w:r>
      <w:r w:rsidR="00CE1021">
        <w:rPr>
          <w:rFonts w:ascii="Arial" w:eastAsia="Arial" w:hAnsi="Arial" w:cs="Arial"/>
          <w:sz w:val="22"/>
          <w:szCs w:val="22"/>
        </w:rPr>
        <w:t>The ECtHR found in M.A v Denmark that a rigi</w:t>
      </w:r>
      <w:r w:rsidR="001A73A4">
        <w:rPr>
          <w:rFonts w:ascii="Arial" w:eastAsia="Arial" w:hAnsi="Arial" w:cs="Arial"/>
          <w:sz w:val="22"/>
          <w:szCs w:val="22"/>
        </w:rPr>
        <w:t>d three-year bar on refugee fam</w:t>
      </w:r>
      <w:r w:rsidR="00F543AB">
        <w:rPr>
          <w:rStyle w:val="FootnoteReference"/>
          <w:rFonts w:ascii="Arial" w:eastAsia="Arial" w:hAnsi="Arial" w:cs="Arial"/>
          <w:sz w:val="22"/>
          <w:szCs w:val="22"/>
        </w:rPr>
        <w:footnoteReference w:id="64"/>
      </w:r>
      <w:proofErr w:type="spellStart"/>
      <w:r w:rsidR="001A73A4">
        <w:rPr>
          <w:rFonts w:ascii="Arial" w:eastAsia="Arial" w:hAnsi="Arial" w:cs="Arial"/>
          <w:sz w:val="22"/>
          <w:szCs w:val="22"/>
        </w:rPr>
        <w:t>ily</w:t>
      </w:r>
      <w:proofErr w:type="spellEnd"/>
      <w:r w:rsidR="001A73A4">
        <w:rPr>
          <w:rFonts w:ascii="Arial" w:eastAsia="Arial" w:hAnsi="Arial" w:cs="Arial"/>
          <w:sz w:val="22"/>
          <w:szCs w:val="22"/>
        </w:rPr>
        <w:t xml:space="preserve"> reunification, applied without individual assessment, breached Article 8</w:t>
      </w:r>
      <w:r w:rsidR="002D0260">
        <w:rPr>
          <w:rFonts w:ascii="Arial" w:eastAsia="Arial" w:hAnsi="Arial" w:cs="Arial"/>
          <w:sz w:val="22"/>
          <w:szCs w:val="22"/>
        </w:rPr>
        <w:t xml:space="preserve">. Denmark subsequently reduced it to two years. The UK’s current suspension of the Family Reunion route has no defined end </w:t>
      </w:r>
      <w:proofErr w:type="gramStart"/>
      <w:r w:rsidR="002D0260">
        <w:rPr>
          <w:rFonts w:ascii="Arial" w:eastAsia="Arial" w:hAnsi="Arial" w:cs="Arial"/>
          <w:sz w:val="22"/>
          <w:szCs w:val="22"/>
        </w:rPr>
        <w:t>date, and</w:t>
      </w:r>
      <w:proofErr w:type="gramEnd"/>
      <w:r w:rsidR="002D0260">
        <w:rPr>
          <w:rFonts w:ascii="Arial" w:eastAsia="Arial" w:hAnsi="Arial" w:cs="Arial"/>
          <w:sz w:val="22"/>
          <w:szCs w:val="22"/>
        </w:rPr>
        <w:t xml:space="preserve"> </w:t>
      </w:r>
      <w:r w:rsidR="00C978D2">
        <w:rPr>
          <w:rFonts w:ascii="Arial" w:eastAsia="Arial" w:hAnsi="Arial" w:cs="Arial"/>
          <w:sz w:val="22"/>
          <w:szCs w:val="22"/>
        </w:rPr>
        <w:t xml:space="preserve">arguably sits on weaker ground than the provision </w:t>
      </w:r>
      <w:r w:rsidR="00F543AB">
        <w:rPr>
          <w:rFonts w:ascii="Arial" w:eastAsia="Arial" w:hAnsi="Arial" w:cs="Arial"/>
          <w:sz w:val="22"/>
          <w:szCs w:val="22"/>
        </w:rPr>
        <w:t xml:space="preserve">the Court found unlawful. </w:t>
      </w:r>
    </w:p>
    <w:p w14:paraId="24AF636F" w14:textId="4BA5B64E" w:rsidR="00651471" w:rsidRPr="009908E8" w:rsidRDefault="0603F9AF" w:rsidP="00AE00D5">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This context is essential to how Part 2 </w:t>
      </w:r>
      <w:r w:rsidR="1AFB5150" w:rsidRPr="47D51BD3">
        <w:rPr>
          <w:rFonts w:ascii="Arial" w:eastAsia="Arial" w:hAnsi="Arial" w:cs="Arial"/>
          <w:sz w:val="22"/>
          <w:szCs w:val="22"/>
        </w:rPr>
        <w:t xml:space="preserve">of the Bill </w:t>
      </w:r>
      <w:r w:rsidRPr="47D51BD3">
        <w:rPr>
          <w:rFonts w:ascii="Arial" w:eastAsia="Arial" w:hAnsi="Arial" w:cs="Arial"/>
          <w:sz w:val="22"/>
          <w:szCs w:val="22"/>
        </w:rPr>
        <w:t xml:space="preserve">should be read. Article 8, and the new "sponsor human rights claim" created by clause 17, is not simply one route among several for family reunification: for many refugees currently unable to meet Appendix FM's financial and language thresholds, it may be the only realistic remaining path to reunite with family while the dedicated route remains suspended. At the same time as more people are likely to need to rely on this route, clauses 18 and 19 make Article 8 claims </w:t>
      </w:r>
      <w:r w:rsidR="49B29F33" w:rsidRPr="47D51BD3">
        <w:rPr>
          <w:rFonts w:ascii="Arial" w:eastAsia="Arial" w:hAnsi="Arial" w:cs="Arial"/>
          <w:sz w:val="22"/>
          <w:szCs w:val="22"/>
        </w:rPr>
        <w:t>substantially</w:t>
      </w:r>
      <w:r w:rsidRPr="47D51BD3">
        <w:rPr>
          <w:rFonts w:ascii="Arial" w:eastAsia="Arial" w:hAnsi="Arial" w:cs="Arial"/>
          <w:sz w:val="22"/>
          <w:szCs w:val="22"/>
        </w:rPr>
        <w:t xml:space="preserve"> harder to win.</w:t>
      </w:r>
    </w:p>
    <w:p w14:paraId="7786538A" w14:textId="480466DD"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Evidence against Government claims</w:t>
      </w:r>
    </w:p>
    <w:p w14:paraId="773FDA81" w14:textId="033B1355" w:rsidR="00651471" w:rsidRPr="009908E8" w:rsidRDefault="0603F9AF" w:rsidP="00AE00D5">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Explanatory Notes assert that the current Article 8 framework allows people to remain in the UK "in circumstances that are not aligned with the intended operation of the Immigration Rules,"</w:t>
      </w:r>
      <w:r w:rsidR="00651471" w:rsidRPr="47D51BD3">
        <w:rPr>
          <w:rStyle w:val="FootnoteReference"/>
          <w:rFonts w:ascii="Arial" w:eastAsia="Arial" w:hAnsi="Arial" w:cs="Arial"/>
          <w:sz w:val="22"/>
          <w:szCs w:val="22"/>
        </w:rPr>
        <w:footnoteReference w:id="65"/>
      </w:r>
      <w:r w:rsidRPr="47D51BD3">
        <w:rPr>
          <w:rFonts w:ascii="Arial" w:eastAsia="Arial" w:hAnsi="Arial" w:cs="Arial"/>
          <w:sz w:val="22"/>
          <w:szCs w:val="22"/>
        </w:rPr>
        <w:t xml:space="preserve"> and that this "can weaken confidence in the system."</w:t>
      </w:r>
      <w:r w:rsidR="00651471" w:rsidRPr="47D51BD3">
        <w:rPr>
          <w:rStyle w:val="FootnoteReference"/>
          <w:rFonts w:ascii="Arial" w:eastAsia="Arial" w:hAnsi="Arial" w:cs="Arial"/>
          <w:sz w:val="22"/>
          <w:szCs w:val="22"/>
        </w:rPr>
        <w:footnoteReference w:id="66"/>
      </w:r>
      <w:r w:rsidRPr="47D51BD3">
        <w:rPr>
          <w:rFonts w:ascii="Arial" w:eastAsia="Arial" w:hAnsi="Arial" w:cs="Arial"/>
          <w:sz w:val="22"/>
          <w:szCs w:val="22"/>
        </w:rPr>
        <w:t xml:space="preserve"> We note with grave concern that there is no figure, source, or definition of scale given for this claim anywhere in the Explanatory Notes or the accompanying impact assessment. That th</w:t>
      </w:r>
      <w:r w:rsidR="2008527E" w:rsidRPr="47D51BD3">
        <w:rPr>
          <w:rFonts w:ascii="Arial" w:eastAsia="Arial" w:hAnsi="Arial" w:cs="Arial"/>
          <w:sz w:val="22"/>
          <w:szCs w:val="22"/>
        </w:rPr>
        <w:t>is</w:t>
      </w:r>
      <w:r w:rsidRPr="47D51BD3">
        <w:rPr>
          <w:rFonts w:ascii="Arial" w:eastAsia="Arial" w:hAnsi="Arial" w:cs="Arial"/>
          <w:sz w:val="22"/>
          <w:szCs w:val="22"/>
        </w:rPr>
        <w:t xml:space="preserve"> Government </w:t>
      </w:r>
      <w:r w:rsidR="2008527E" w:rsidRPr="47D51BD3">
        <w:rPr>
          <w:rFonts w:ascii="Arial" w:eastAsia="Arial" w:hAnsi="Arial" w:cs="Arial"/>
          <w:sz w:val="22"/>
          <w:szCs w:val="22"/>
        </w:rPr>
        <w:t>is seeking</w:t>
      </w:r>
      <w:r w:rsidRPr="47D51BD3">
        <w:rPr>
          <w:rFonts w:ascii="Arial" w:eastAsia="Arial" w:hAnsi="Arial" w:cs="Arial"/>
          <w:sz w:val="22"/>
          <w:szCs w:val="22"/>
        </w:rPr>
        <w:t xml:space="preserve"> to implement changes that will have severe consequences </w:t>
      </w:r>
      <w:r w:rsidR="79C40C05" w:rsidRPr="47D51BD3">
        <w:rPr>
          <w:rFonts w:ascii="Arial" w:eastAsia="Arial" w:hAnsi="Arial" w:cs="Arial"/>
          <w:sz w:val="22"/>
          <w:szCs w:val="22"/>
        </w:rPr>
        <w:t>for</w:t>
      </w:r>
      <w:r w:rsidRPr="47D51BD3">
        <w:rPr>
          <w:rFonts w:ascii="Arial" w:eastAsia="Arial" w:hAnsi="Arial" w:cs="Arial"/>
          <w:sz w:val="22"/>
          <w:szCs w:val="22"/>
        </w:rPr>
        <w:t xml:space="preserve"> people in already vulnerable conditions, without having to provide evidence to justify its rationale, is unjustifiable.</w:t>
      </w:r>
    </w:p>
    <w:p w14:paraId="67AE6CFD" w14:textId="50A5B66A" w:rsidR="00651471" w:rsidRPr="009908E8" w:rsidRDefault="0603F9AF" w:rsidP="00AE00D5">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Regardless, the actual data does not support the premise. Findings from the European Court of Human Rights (ECtHR) of violation against the UK, across all areas of Convention law, have averaged fewer than four per year over the last decade.</w:t>
      </w:r>
      <w:r w:rsidR="00651471" w:rsidRPr="47D51BD3">
        <w:rPr>
          <w:rStyle w:val="FootnoteReference"/>
          <w:rFonts w:ascii="Arial" w:eastAsia="Arial" w:hAnsi="Arial" w:cs="Arial"/>
          <w:sz w:val="22"/>
          <w:szCs w:val="22"/>
        </w:rPr>
        <w:footnoteReference w:id="67"/>
      </w:r>
      <w:r w:rsidRPr="47D51BD3">
        <w:rPr>
          <w:rFonts w:ascii="Arial" w:eastAsia="Arial" w:hAnsi="Arial" w:cs="Arial"/>
          <w:sz w:val="22"/>
          <w:szCs w:val="22"/>
        </w:rPr>
        <w:t xml:space="preserve"> Migration-related cases make up only around 1.5-2% of the Court's total caseload.</w:t>
      </w:r>
      <w:r w:rsidR="00651471" w:rsidRPr="47D51BD3">
        <w:rPr>
          <w:rStyle w:val="FootnoteReference"/>
          <w:rFonts w:ascii="Arial" w:eastAsia="Arial" w:hAnsi="Arial" w:cs="Arial"/>
          <w:sz w:val="22"/>
          <w:szCs w:val="22"/>
        </w:rPr>
        <w:footnoteReference w:id="68"/>
      </w:r>
      <w:r w:rsidRPr="47D51BD3">
        <w:rPr>
          <w:rFonts w:ascii="Arial" w:eastAsia="Arial" w:hAnsi="Arial" w:cs="Arial"/>
          <w:sz w:val="22"/>
          <w:szCs w:val="22"/>
        </w:rPr>
        <w:t xml:space="preserve"> Since 1980, there have been only 29 UK cases at the Court concerning deportation or extradition combined</w:t>
      </w:r>
      <w:r w:rsidR="00014218" w:rsidRPr="47D51BD3">
        <w:rPr>
          <w:rStyle w:val="FootnoteReference"/>
          <w:rFonts w:ascii="Arial" w:eastAsia="Arial" w:hAnsi="Arial" w:cs="Arial"/>
          <w:sz w:val="22"/>
          <w:szCs w:val="22"/>
        </w:rPr>
        <w:footnoteReference w:id="69"/>
      </w:r>
      <w:r w:rsidRPr="47D51BD3">
        <w:rPr>
          <w:rFonts w:ascii="Arial" w:eastAsia="Arial" w:hAnsi="Arial" w:cs="Arial"/>
          <w:sz w:val="22"/>
          <w:szCs w:val="22"/>
        </w:rPr>
        <w:t xml:space="preserve">, and successful Article 8 challenges represent around 3% of completed </w:t>
      </w:r>
      <w:r w:rsidRPr="47D51BD3">
        <w:rPr>
          <w:rFonts w:ascii="Arial" w:eastAsia="Arial" w:hAnsi="Arial" w:cs="Arial"/>
          <w:color w:val="000000" w:themeColor="text1"/>
          <w:sz w:val="22"/>
          <w:szCs w:val="22"/>
        </w:rPr>
        <w:t>deportations for criminal offending.</w:t>
      </w:r>
      <w:r w:rsidR="00651471" w:rsidRPr="47D51BD3">
        <w:rPr>
          <w:rStyle w:val="FootnoteReference"/>
          <w:rFonts w:ascii="Arial" w:eastAsia="Arial" w:hAnsi="Arial" w:cs="Arial"/>
          <w:color w:val="000000" w:themeColor="text1"/>
          <w:sz w:val="22"/>
          <w:szCs w:val="22"/>
        </w:rPr>
        <w:footnoteReference w:id="70"/>
      </w:r>
      <w:r w:rsidRPr="47D51BD3">
        <w:rPr>
          <w:rFonts w:ascii="Arial" w:eastAsia="Arial" w:hAnsi="Arial" w:cs="Arial"/>
          <w:color w:val="000000" w:themeColor="text1"/>
          <w:sz w:val="22"/>
          <w:szCs w:val="22"/>
        </w:rPr>
        <w:t xml:space="preserve"> More recently from June 2016 until June 2021, successful human rights-based appeals relating to deportation did not exceed 3.5% and those relating to family and private life also stood at around 2.5%.</w:t>
      </w:r>
      <w:r w:rsidR="00651471" w:rsidRPr="47D51BD3">
        <w:rPr>
          <w:rStyle w:val="FootnoteReference"/>
          <w:rFonts w:ascii="Arial" w:eastAsia="Arial" w:hAnsi="Arial" w:cs="Arial"/>
          <w:color w:val="000000" w:themeColor="text1"/>
          <w:sz w:val="22"/>
          <w:szCs w:val="22"/>
        </w:rPr>
        <w:footnoteReference w:id="71"/>
      </w:r>
      <w:r w:rsidRPr="47D51BD3">
        <w:rPr>
          <w:rFonts w:ascii="Arial" w:eastAsia="Arial" w:hAnsi="Arial" w:cs="Arial"/>
          <w:color w:val="000000" w:themeColor="text1"/>
          <w:sz w:val="22"/>
          <w:szCs w:val="22"/>
        </w:rPr>
        <w:t xml:space="preserve"> </w:t>
      </w:r>
      <w:r w:rsidRPr="47D51BD3">
        <w:rPr>
          <w:rFonts w:ascii="Arial" w:eastAsia="Arial" w:hAnsi="Arial" w:cs="Arial"/>
          <w:sz w:val="22"/>
          <w:szCs w:val="22"/>
        </w:rPr>
        <w:t>It is clear that these numbers do not point in the direction of a system that is out of control</w:t>
      </w:r>
      <w:r w:rsidR="049D0CCA" w:rsidRPr="47D51BD3">
        <w:rPr>
          <w:rFonts w:ascii="Arial" w:eastAsia="Arial" w:hAnsi="Arial" w:cs="Arial"/>
          <w:sz w:val="22"/>
          <w:szCs w:val="22"/>
        </w:rPr>
        <w:t>, as stated by the Government</w:t>
      </w:r>
      <w:r w:rsidRPr="47D51BD3">
        <w:rPr>
          <w:rFonts w:ascii="Arial" w:eastAsia="Arial" w:hAnsi="Arial" w:cs="Arial"/>
          <w:sz w:val="22"/>
          <w:szCs w:val="22"/>
        </w:rPr>
        <w:t xml:space="preserve">. </w:t>
      </w:r>
    </w:p>
    <w:p w14:paraId="299815EE" w14:textId="4439211B" w:rsidR="00651471" w:rsidRPr="009908E8" w:rsidRDefault="0603F9AF" w:rsidP="00AE00D5">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Explanatory Notes also assert that a significant proportion of successful claims involve people who entered unlawfully or remained without leave, used to justify the "no weight" rule in s.19(4)-(5).</w:t>
      </w:r>
      <w:r w:rsidR="00651471" w:rsidRPr="47D51BD3">
        <w:rPr>
          <w:rStyle w:val="FootnoteReference"/>
          <w:rFonts w:ascii="Arial" w:eastAsia="Arial" w:hAnsi="Arial" w:cs="Arial"/>
          <w:sz w:val="22"/>
          <w:szCs w:val="22"/>
        </w:rPr>
        <w:footnoteReference w:id="72"/>
      </w:r>
      <w:r w:rsidRPr="47D51BD3">
        <w:rPr>
          <w:rFonts w:ascii="Arial" w:eastAsia="Arial" w:hAnsi="Arial" w:cs="Arial"/>
          <w:sz w:val="22"/>
          <w:szCs w:val="22"/>
        </w:rPr>
        <w:t xml:space="preserve"> </w:t>
      </w:r>
      <w:r w:rsidR="10820CEB" w:rsidRPr="47D51BD3">
        <w:rPr>
          <w:rFonts w:ascii="Arial" w:eastAsia="Arial" w:hAnsi="Arial" w:cs="Arial"/>
          <w:sz w:val="22"/>
          <w:szCs w:val="22"/>
        </w:rPr>
        <w:t xml:space="preserve">The only source we have identified for this, is </w:t>
      </w:r>
      <w:r w:rsidR="1FF77DF5" w:rsidRPr="47D51BD3">
        <w:rPr>
          <w:rFonts w:ascii="Arial" w:eastAsia="Arial" w:hAnsi="Arial" w:cs="Arial"/>
          <w:sz w:val="22"/>
          <w:szCs w:val="22"/>
        </w:rPr>
        <w:t>an un</w:t>
      </w:r>
      <w:r w:rsidR="4FB67B71" w:rsidRPr="47D51BD3">
        <w:rPr>
          <w:rFonts w:ascii="Arial" w:eastAsia="Arial" w:hAnsi="Arial" w:cs="Arial"/>
          <w:sz w:val="22"/>
          <w:szCs w:val="22"/>
        </w:rPr>
        <w:t xml:space="preserve">published internal </w:t>
      </w:r>
      <w:r w:rsidR="78D5A120" w:rsidRPr="47D51BD3">
        <w:rPr>
          <w:rFonts w:ascii="Arial" w:eastAsia="Arial" w:hAnsi="Arial" w:cs="Arial"/>
          <w:sz w:val="22"/>
          <w:szCs w:val="22"/>
        </w:rPr>
        <w:t>one-year sample cited in the Impact Assessment</w:t>
      </w:r>
      <w:r w:rsidR="02C776FE" w:rsidRPr="47D51BD3">
        <w:rPr>
          <w:rFonts w:ascii="Arial" w:eastAsia="Arial" w:hAnsi="Arial" w:cs="Arial"/>
          <w:sz w:val="22"/>
          <w:szCs w:val="22"/>
        </w:rPr>
        <w:t xml:space="preserve">, which </w:t>
      </w:r>
      <w:r w:rsidR="0F130BB8" w:rsidRPr="47D51BD3">
        <w:rPr>
          <w:rFonts w:ascii="Arial" w:eastAsia="Arial" w:hAnsi="Arial" w:cs="Arial"/>
          <w:sz w:val="22"/>
          <w:szCs w:val="22"/>
        </w:rPr>
        <w:t xml:space="preserve">is not available </w:t>
      </w:r>
      <w:r w:rsidR="0E36030B" w:rsidRPr="47D51BD3">
        <w:rPr>
          <w:rFonts w:ascii="Arial" w:eastAsia="Arial" w:hAnsi="Arial" w:cs="Arial"/>
          <w:sz w:val="22"/>
          <w:szCs w:val="22"/>
        </w:rPr>
        <w:t>at this stage for scrutiny</w:t>
      </w:r>
      <w:r w:rsidR="0C04AFFD"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73"/>
      </w:r>
      <w:r w:rsidRPr="47D51BD3">
        <w:rPr>
          <w:rFonts w:ascii="Arial" w:eastAsia="Arial" w:hAnsi="Arial" w:cs="Arial"/>
          <w:sz w:val="22"/>
          <w:szCs w:val="22"/>
        </w:rPr>
        <w:t xml:space="preserve"> We reiterate that in this instance too, there is no </w:t>
      </w:r>
      <w:r w:rsidR="1AE14A32" w:rsidRPr="47D51BD3">
        <w:rPr>
          <w:rFonts w:ascii="Arial" w:eastAsia="Arial" w:hAnsi="Arial" w:cs="Arial"/>
          <w:sz w:val="22"/>
          <w:szCs w:val="22"/>
        </w:rPr>
        <w:t xml:space="preserve">accurate </w:t>
      </w:r>
      <w:r w:rsidRPr="47D51BD3">
        <w:rPr>
          <w:rFonts w:ascii="Arial" w:eastAsia="Arial" w:hAnsi="Arial" w:cs="Arial"/>
          <w:sz w:val="22"/>
          <w:szCs w:val="22"/>
        </w:rPr>
        <w:t>figure or source to back the claims. This is a pattern across the Bill, where an assertion of systemic misuse is made to justify harsher restrictions, without evidence being shared to support that claim. The law is being blamed for a problem of public perception of misuse. Changing the law to make it less humane and compassionate will not change this perception.</w:t>
      </w:r>
    </w:p>
    <w:p w14:paraId="4A8E1424" w14:textId="0828C7B1"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A statement of consensus signed by ILPA and other migration and asylum law practitioners and researchers, responding directly to the Restoring Order and Control statement underpinning this Bill, stated that the evidence cited does not support the assertion that Article 8 rights are leading to high numbers of arrivals from people who would not otherwise have the right to live in the UK.</w:t>
      </w:r>
      <w:r w:rsidR="00651471" w:rsidRPr="47D51BD3">
        <w:rPr>
          <w:rStyle w:val="FootnoteReference"/>
          <w:rFonts w:ascii="Arial" w:eastAsia="Arial" w:hAnsi="Arial" w:cs="Arial"/>
          <w:sz w:val="22"/>
          <w:szCs w:val="22"/>
        </w:rPr>
        <w:footnoteReference w:id="74"/>
      </w:r>
      <w:r w:rsidRPr="47D51BD3">
        <w:rPr>
          <w:rFonts w:ascii="Arial" w:eastAsia="Arial" w:hAnsi="Arial" w:cs="Arial"/>
          <w:sz w:val="22"/>
          <w:szCs w:val="22"/>
        </w:rPr>
        <w:t xml:space="preserve"> The same statement notes that the European Court of Human Rights has held that refugees need a more favourable family reunion policy than that available to other migrants, precisely because they cannot return to their country of origin (</w:t>
      </w:r>
      <w:r w:rsidRPr="47D51BD3">
        <w:rPr>
          <w:rFonts w:ascii="Arial" w:eastAsia="Arial" w:hAnsi="Arial" w:cs="Arial"/>
          <w:i/>
          <w:sz w:val="22"/>
          <w:szCs w:val="22"/>
        </w:rPr>
        <w:t>MA v Denmark</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75"/>
      </w:r>
    </w:p>
    <w:p w14:paraId="47A78A43" w14:textId="77777777"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Explanatory Notes further state that the reforms will "reflect established Strasbourg and domestic case law.”</w:t>
      </w:r>
      <w:r w:rsidR="00651471" w:rsidRPr="47D51BD3">
        <w:rPr>
          <w:rStyle w:val="FootnoteReference"/>
          <w:rFonts w:ascii="Arial" w:eastAsia="Arial" w:hAnsi="Arial" w:cs="Arial"/>
          <w:sz w:val="22"/>
          <w:szCs w:val="22"/>
        </w:rPr>
        <w:footnoteReference w:id="76"/>
      </w:r>
      <w:r w:rsidRPr="47D51BD3">
        <w:rPr>
          <w:rFonts w:ascii="Arial" w:eastAsia="Arial" w:hAnsi="Arial" w:cs="Arial"/>
          <w:sz w:val="22"/>
          <w:szCs w:val="22"/>
        </w:rPr>
        <w:t xml:space="preserve"> This assertion understates the current legislative position, where the Nationality, Immigration and Asylum Act 2002,</w:t>
      </w:r>
      <w:r w:rsidR="00651471" w:rsidRPr="47D51BD3">
        <w:rPr>
          <w:rStyle w:val="FootnoteReference"/>
          <w:rFonts w:ascii="Arial" w:eastAsia="Arial" w:hAnsi="Arial" w:cs="Arial"/>
          <w:sz w:val="22"/>
          <w:szCs w:val="22"/>
        </w:rPr>
        <w:footnoteReference w:id="77"/>
      </w:r>
      <w:r w:rsidRPr="47D51BD3">
        <w:rPr>
          <w:rFonts w:ascii="Arial" w:eastAsia="Arial" w:hAnsi="Arial" w:cs="Arial"/>
          <w:sz w:val="22"/>
          <w:szCs w:val="22"/>
        </w:rPr>
        <w:t xml:space="preserve"> as amended by the Immigration Act 2014,</w:t>
      </w:r>
      <w:r w:rsidR="00651471" w:rsidRPr="47D51BD3">
        <w:rPr>
          <w:rStyle w:val="FootnoteReference"/>
          <w:rFonts w:ascii="Arial" w:eastAsia="Arial" w:hAnsi="Arial" w:cs="Arial"/>
          <w:sz w:val="22"/>
          <w:szCs w:val="22"/>
        </w:rPr>
        <w:footnoteReference w:id="78"/>
      </w:r>
      <w:r w:rsidRPr="47D51BD3">
        <w:rPr>
          <w:rFonts w:ascii="Arial" w:eastAsia="Arial" w:hAnsi="Arial" w:cs="Arial"/>
          <w:sz w:val="22"/>
          <w:szCs w:val="22"/>
        </w:rPr>
        <w:t xml:space="preserve"> already provides a detailed statutory framework governing Article 8 in deportation cases, with considerable specificity about when private or family life may or may not prevail over the public interest. This framework was created by Parliament, and it was not imposed by Strasbourg. We also stress that Article 8 is integrated into domestic law by the Human Rights Act 1998,</w:t>
      </w:r>
      <w:r w:rsidR="00651471" w:rsidRPr="47D51BD3">
        <w:rPr>
          <w:rStyle w:val="FootnoteReference"/>
          <w:rFonts w:ascii="Arial" w:eastAsia="Arial" w:hAnsi="Arial" w:cs="Arial"/>
          <w:sz w:val="22"/>
          <w:szCs w:val="22"/>
        </w:rPr>
        <w:footnoteReference w:id="79"/>
      </w:r>
      <w:r w:rsidRPr="47D51BD3">
        <w:rPr>
          <w:rFonts w:ascii="Arial" w:eastAsia="Arial" w:hAnsi="Arial" w:cs="Arial"/>
          <w:sz w:val="22"/>
          <w:szCs w:val="22"/>
        </w:rPr>
        <w:t xml:space="preserve"> which is an Act of Parliament. It is UK courts, not the ECtHR, that determine in the first instance whether a person's family or private life rights are engaged and how they should be weighed. </w:t>
      </w:r>
    </w:p>
    <w:p w14:paraId="33B6285F" w14:textId="565608DD" w:rsidR="008347FC"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Home Office has conducted a human rights impact assessment for this Bill, published as its ECHR Memorandum.</w:t>
      </w:r>
      <w:r w:rsidR="00651471" w:rsidRPr="47D51BD3">
        <w:rPr>
          <w:rStyle w:val="FootnoteReference"/>
          <w:rFonts w:ascii="Arial" w:eastAsia="Arial" w:hAnsi="Arial" w:cs="Arial"/>
          <w:sz w:val="22"/>
          <w:szCs w:val="22"/>
        </w:rPr>
        <w:footnoteReference w:id="80"/>
      </w:r>
      <w:r w:rsidRPr="47D51BD3">
        <w:rPr>
          <w:rFonts w:ascii="Arial" w:eastAsia="Arial" w:hAnsi="Arial" w:cs="Arial"/>
          <w:sz w:val="22"/>
          <w:szCs w:val="22"/>
        </w:rPr>
        <w:t xml:space="preserve"> </w:t>
      </w:r>
      <w:r w:rsidR="00701CB3">
        <w:rPr>
          <w:rFonts w:ascii="Arial" w:eastAsia="Arial" w:hAnsi="Arial" w:cs="Arial"/>
          <w:sz w:val="22"/>
          <w:szCs w:val="22"/>
        </w:rPr>
        <w:t>In relation to Clause 20, that assessment states that where “private or family exceptions” are not met, a person can still succeed by showing “very compelling circumstances”</w:t>
      </w:r>
      <w:r w:rsidR="00ED365B">
        <w:rPr>
          <w:rFonts w:ascii="Arial" w:eastAsia="Arial" w:hAnsi="Arial" w:cs="Arial"/>
          <w:sz w:val="22"/>
          <w:szCs w:val="22"/>
        </w:rPr>
        <w:t xml:space="preserve">. Both terms derive from s.117C in Clause </w:t>
      </w:r>
      <w:proofErr w:type="gramStart"/>
      <w:r w:rsidR="00ED365B">
        <w:rPr>
          <w:rFonts w:ascii="Arial" w:eastAsia="Arial" w:hAnsi="Arial" w:cs="Arial"/>
          <w:sz w:val="22"/>
          <w:szCs w:val="22"/>
        </w:rPr>
        <w:t>20, and</w:t>
      </w:r>
      <w:proofErr w:type="gramEnd"/>
      <w:r w:rsidR="00ED365B">
        <w:rPr>
          <w:rFonts w:ascii="Arial" w:eastAsia="Arial" w:hAnsi="Arial" w:cs="Arial"/>
          <w:sz w:val="22"/>
          <w:szCs w:val="22"/>
        </w:rPr>
        <w:t xml:space="preserve"> apply only to people already liable to deportation. </w:t>
      </w:r>
      <w:r w:rsidR="009E7E17">
        <w:rPr>
          <w:rFonts w:ascii="Arial" w:eastAsia="Arial" w:hAnsi="Arial" w:cs="Arial"/>
          <w:sz w:val="22"/>
          <w:szCs w:val="22"/>
        </w:rPr>
        <w:t xml:space="preserve">Clause 18’s new s.117AA governs whether </w:t>
      </w:r>
      <w:r w:rsidR="00567B1C">
        <w:rPr>
          <w:rFonts w:ascii="Arial" w:eastAsia="Arial" w:hAnsi="Arial" w:cs="Arial"/>
          <w:sz w:val="22"/>
          <w:szCs w:val="22"/>
        </w:rPr>
        <w:t>Article 8 is engaged at all, which is a prior and distinct question to the proportionality assessment carried out under s.117B)</w:t>
      </w:r>
      <w:r w:rsidR="00735774">
        <w:rPr>
          <w:rFonts w:ascii="Arial" w:eastAsia="Arial" w:hAnsi="Arial" w:cs="Arial"/>
          <w:sz w:val="22"/>
          <w:szCs w:val="22"/>
        </w:rPr>
        <w:t xml:space="preserve"> and s117C. Our concern is that the narrower definition of family life in s.117AA risks excluding genuine claims</w:t>
      </w:r>
      <w:r w:rsidR="00096F2B">
        <w:rPr>
          <w:rFonts w:ascii="Arial" w:eastAsia="Arial" w:hAnsi="Arial" w:cs="Arial"/>
          <w:sz w:val="22"/>
          <w:szCs w:val="22"/>
        </w:rPr>
        <w:t xml:space="preserve"> before a proportionality assessment is reached. </w:t>
      </w:r>
    </w:p>
    <w:p w14:paraId="3F4B5FAC" w14:textId="701DEDAD"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17: Sponsor claims</w:t>
      </w:r>
    </w:p>
    <w:p w14:paraId="49A21610" w14:textId="18B2EAE8" w:rsidR="00651471" w:rsidRPr="009908E8" w:rsidRDefault="0603F9AF" w:rsidP="009E3834">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s.17(1) defines a new "sponsor human rights claim", a claim made by a person in the UK that refusing a family member entry would be unlawful under Article 8, and links it into the existing "human rights claim" definitions used throughout the Nationality, Immigration and Asylum Act 2002. s.17(3) exempts such claims from the inadmissibility power in s.80A, and s.17(4) bundles the sponsor's appeal together with the family member's own entry-decision appeal into a single proceeding.</w:t>
      </w:r>
    </w:p>
    <w:p w14:paraId="6A353B2D" w14:textId="3BBBA1A6"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Previously, only the family member abroad could bring this kind of claim, arguing their own case from outside the UK, often without easy access to legal advice or any practical ability to engage with the UK system.</w:t>
      </w:r>
      <w:r w:rsidR="00651471" w:rsidRPr="47D51BD3">
        <w:rPr>
          <w:rStyle w:val="FootnoteReference"/>
          <w:rFonts w:ascii="Arial" w:eastAsia="Arial" w:hAnsi="Arial" w:cs="Arial"/>
          <w:sz w:val="22"/>
          <w:szCs w:val="22"/>
        </w:rPr>
        <w:footnoteReference w:id="81"/>
      </w:r>
      <w:r w:rsidRPr="47D51BD3">
        <w:rPr>
          <w:rFonts w:ascii="Arial" w:eastAsia="Arial" w:hAnsi="Arial" w:cs="Arial"/>
          <w:sz w:val="22"/>
          <w:szCs w:val="22"/>
        </w:rPr>
        <w:t xml:space="preserve"> Clause 17 allows the person with the strongest practical connection to the UK, the sponsor, to bring the claim themselves. We do not object </w:t>
      </w:r>
      <w:r w:rsidR="0474FF76" w:rsidRPr="47D51BD3">
        <w:rPr>
          <w:rFonts w:ascii="Arial" w:eastAsia="Arial" w:hAnsi="Arial" w:cs="Arial"/>
          <w:sz w:val="22"/>
          <w:szCs w:val="22"/>
        </w:rPr>
        <w:t>to</w:t>
      </w:r>
      <w:r w:rsidRPr="47D51BD3">
        <w:rPr>
          <w:rFonts w:ascii="Arial" w:eastAsia="Arial" w:hAnsi="Arial" w:cs="Arial"/>
          <w:sz w:val="22"/>
          <w:szCs w:val="22"/>
        </w:rPr>
        <w:t xml:space="preserve"> this clause, nonetheless it needs to be read in conjunction with the rest of Part 2, and the wider Bill, which would make it increasingly hard for a sponsor in the UK to reunite or remain with their families. </w:t>
      </w:r>
    </w:p>
    <w:p w14:paraId="172C259C" w14:textId="22EC9FC7"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18: Family Life</w:t>
      </w:r>
    </w:p>
    <w:p w14:paraId="13AB999B" w14:textId="402CBD17" w:rsidR="00651471" w:rsidRPr="009908E8" w:rsidRDefault="0603F9AF" w:rsidP="009E3834">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Clause 18 replaces the current flexible, fact-driven judicial inquiry into whether "family life" exists with a rule-based gateway test that must be passed before any proportionality or fairness weighing begins. Cohabiting core family is presumed to satisfy the gateway automatically; nonetheless, a person who does not live with a family member, for example a non-resident parent, must instead show a "genuine and subsisting parental relationship" under s.18(3). </w:t>
      </w:r>
    </w:p>
    <w:p w14:paraId="3930912C" w14:textId="77D9CC22"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Worryingly, certain factors are excluded from counting on their own: financial dependency alone does not establish family life, and emotional reliance alone does not either. Today, a judge can look at the combination of both and reasonably conclude they add up to family life, for example an elderly parent abroad who is both financially dependent on, and emotionally reliant on, their only </w:t>
      </w:r>
      <w:r w:rsidR="763AC2F2" w:rsidRPr="47D51BD3">
        <w:rPr>
          <w:rFonts w:ascii="Arial" w:eastAsia="Arial" w:hAnsi="Arial" w:cs="Arial"/>
          <w:sz w:val="22"/>
          <w:szCs w:val="22"/>
        </w:rPr>
        <w:t xml:space="preserve">adult </w:t>
      </w:r>
      <w:r w:rsidRPr="47D51BD3">
        <w:rPr>
          <w:rFonts w:ascii="Arial" w:eastAsia="Arial" w:hAnsi="Arial" w:cs="Arial"/>
          <w:sz w:val="22"/>
          <w:szCs w:val="22"/>
        </w:rPr>
        <w:t xml:space="preserve">child in the UK. </w:t>
      </w:r>
      <w:r w:rsidR="007F4120">
        <w:rPr>
          <w:rFonts w:ascii="Arial" w:eastAsia="Arial" w:hAnsi="Arial" w:cs="Arial"/>
          <w:sz w:val="22"/>
          <w:szCs w:val="22"/>
        </w:rPr>
        <w:t>It is not clear</w:t>
      </w:r>
      <w:r w:rsidR="00944856">
        <w:rPr>
          <w:rFonts w:ascii="Arial" w:eastAsia="Arial" w:hAnsi="Arial" w:cs="Arial"/>
          <w:sz w:val="22"/>
          <w:szCs w:val="22"/>
        </w:rPr>
        <w:t xml:space="preserve"> whether </w:t>
      </w:r>
      <w:r w:rsidRPr="47D51BD3">
        <w:rPr>
          <w:rFonts w:ascii="Arial" w:eastAsia="Arial" w:hAnsi="Arial" w:cs="Arial"/>
          <w:sz w:val="22"/>
          <w:szCs w:val="22"/>
        </w:rPr>
        <w:t xml:space="preserve">Clause 18 </w:t>
      </w:r>
      <w:r w:rsidR="00944856">
        <w:rPr>
          <w:rFonts w:ascii="Arial" w:eastAsia="Arial" w:hAnsi="Arial" w:cs="Arial"/>
          <w:sz w:val="22"/>
          <w:szCs w:val="22"/>
        </w:rPr>
        <w:t xml:space="preserve">permits the same combination to establish that family life is </w:t>
      </w:r>
      <w:r w:rsidR="00041221">
        <w:rPr>
          <w:rFonts w:ascii="Arial" w:eastAsia="Arial" w:hAnsi="Arial" w:cs="Arial"/>
          <w:sz w:val="22"/>
          <w:szCs w:val="22"/>
        </w:rPr>
        <w:t>engaged or</w:t>
      </w:r>
      <w:r w:rsidR="00944856">
        <w:rPr>
          <w:rFonts w:ascii="Arial" w:eastAsia="Arial" w:hAnsi="Arial" w:cs="Arial"/>
          <w:sz w:val="22"/>
          <w:szCs w:val="22"/>
        </w:rPr>
        <w:t xml:space="preserve"> </w:t>
      </w:r>
      <w:r w:rsidR="00894294">
        <w:rPr>
          <w:rFonts w:ascii="Arial" w:eastAsia="Arial" w:hAnsi="Arial" w:cs="Arial"/>
          <w:sz w:val="22"/>
          <w:szCs w:val="22"/>
        </w:rPr>
        <w:t xml:space="preserve">confines it to the later question of whether removal would be </w:t>
      </w:r>
      <w:r w:rsidR="00612428">
        <w:rPr>
          <w:rFonts w:ascii="Arial" w:eastAsia="Arial" w:hAnsi="Arial" w:cs="Arial"/>
          <w:sz w:val="22"/>
          <w:szCs w:val="22"/>
        </w:rPr>
        <w:t>proportionate</w:t>
      </w:r>
      <w:r w:rsidR="00894294">
        <w:rPr>
          <w:rFonts w:ascii="Arial" w:eastAsia="Arial" w:hAnsi="Arial" w:cs="Arial"/>
          <w:sz w:val="22"/>
          <w:szCs w:val="22"/>
        </w:rPr>
        <w:t xml:space="preserve">. </w:t>
      </w:r>
    </w:p>
    <w:p w14:paraId="173E11DD" w14:textId="0F56AF71"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This replaces the holistic judicial assessment, which allowed a judge to weigh the totality of a relationship's circumstances, into a checklist. That means that a relationship can be entirely genuine and still never reach the stage where a judge asks whether removing someone would be </w:t>
      </w:r>
      <w:r w:rsidR="00C5679D">
        <w:rPr>
          <w:rFonts w:ascii="Arial" w:eastAsia="Arial" w:hAnsi="Arial" w:cs="Arial"/>
          <w:sz w:val="22"/>
          <w:szCs w:val="22"/>
        </w:rPr>
        <w:t>proportionate</w:t>
      </w:r>
      <w:r w:rsidRPr="47D51BD3">
        <w:rPr>
          <w:rFonts w:ascii="Arial" w:eastAsia="Arial" w:hAnsi="Arial" w:cs="Arial"/>
          <w:sz w:val="22"/>
          <w:szCs w:val="22"/>
        </w:rPr>
        <w:t xml:space="preserve">, because it does not fit into the listed (and very limited) categories.  </w:t>
      </w:r>
    </w:p>
    <w:p w14:paraId="2F9D4EA6" w14:textId="48192DB0" w:rsidR="00DB7288" w:rsidRPr="00DB7288" w:rsidRDefault="0603F9AF" w:rsidP="00DB7288">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The definition of “core cohabiting family” in s.18(4) creates a further issue when it comes to Article 8 rights. Family circumstances can differ greatly depending on cultural and social contexts, as well as applicants and sponsors experiences. </w:t>
      </w:r>
    </w:p>
    <w:p w14:paraId="30A16B5F" w14:textId="134ED90D" w:rsidR="00ED1466" w:rsidRPr="00DB7288" w:rsidRDefault="00DB7288" w:rsidP="00DB7288">
      <w:pPr>
        <w:numPr>
          <w:ilvl w:val="0"/>
          <w:numId w:val="3"/>
        </w:numPr>
        <w:spacing w:line="276" w:lineRule="auto"/>
        <w:jc w:val="both"/>
        <w:rPr>
          <w:rFonts w:ascii="Arial" w:eastAsia="Arial" w:hAnsi="Arial" w:cs="Arial"/>
          <w:sz w:val="22"/>
          <w:szCs w:val="22"/>
        </w:rPr>
      </w:pPr>
      <w:r w:rsidRPr="00DB7288">
        <w:rPr>
          <w:rFonts w:ascii="Arial" w:eastAsia="Arial" w:hAnsi="Arial" w:cs="Arial"/>
          <w:sz w:val="22"/>
          <w:szCs w:val="22"/>
        </w:rPr>
        <w:t xml:space="preserve">As early as 2003, the Court of Appeal in </w:t>
      </w:r>
      <w:r w:rsidRPr="01D1DCFC">
        <w:rPr>
          <w:rFonts w:ascii="Arial" w:eastAsia="Arial" w:hAnsi="Arial" w:cs="Arial"/>
          <w:i/>
          <w:iCs/>
          <w:sz w:val="22"/>
          <w:szCs w:val="22"/>
        </w:rPr>
        <w:t>Kugathas v Secretary of State for the Home Department</w:t>
      </w:r>
      <w:r w:rsidR="00A94D57" w:rsidRPr="01D1DCFC">
        <w:rPr>
          <w:rStyle w:val="FootnoteReference"/>
          <w:rFonts w:ascii="Arial" w:eastAsia="Arial" w:hAnsi="Arial" w:cs="Arial"/>
          <w:i/>
          <w:iCs/>
          <w:sz w:val="22"/>
          <w:szCs w:val="22"/>
        </w:rPr>
        <w:footnoteReference w:id="82"/>
      </w:r>
      <w:r w:rsidRPr="01D1DCFC">
        <w:rPr>
          <w:rFonts w:ascii="Arial" w:eastAsia="Arial" w:hAnsi="Arial" w:cs="Arial"/>
          <w:i/>
          <w:iCs/>
          <w:sz w:val="22"/>
          <w:szCs w:val="22"/>
        </w:rPr>
        <w:t xml:space="preserve"> </w:t>
      </w:r>
      <w:r w:rsidRPr="00DB7288">
        <w:rPr>
          <w:rFonts w:ascii="Arial" w:eastAsia="Arial" w:hAnsi="Arial" w:cs="Arial"/>
          <w:sz w:val="22"/>
          <w:szCs w:val="22"/>
        </w:rPr>
        <w:t>established that relationships between adults may benefit from protection under Article 8 only where there is evidence of something more than normal emotional ties, such as real, committed, or effective support between the parties.</w:t>
      </w:r>
      <w:r w:rsidR="7BAF0BCF" w:rsidRPr="00DB7288">
        <w:rPr>
          <w:rFonts w:ascii="Arial" w:eastAsia="Arial" w:hAnsi="Arial" w:cs="Arial"/>
          <w:sz w:val="22"/>
          <w:szCs w:val="22"/>
        </w:rPr>
        <w:t xml:space="preserve"> </w:t>
      </w:r>
      <w:r w:rsidRPr="00DB7288">
        <w:rPr>
          <w:rFonts w:ascii="Arial" w:eastAsia="Arial" w:hAnsi="Arial" w:cs="Arial"/>
          <w:sz w:val="22"/>
          <w:szCs w:val="22"/>
        </w:rPr>
        <w:t xml:space="preserve">This domestic test has since been applied consistently by UK tribunals in assessing adult family relationships. </w:t>
      </w:r>
    </w:p>
    <w:p w14:paraId="63CF7AA4" w14:textId="3890BD64"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relationship between this test and Strasbourg's own case law needs to be stated precisely. The European Court has narrowed the meaning of family life between adults in recent cases, holding that there is no family life between adults unless "additional elements of dependence, involving more than normal emotional ties" can be shown (</w:t>
      </w:r>
      <w:r w:rsidRPr="47D51BD3">
        <w:rPr>
          <w:rFonts w:ascii="Arial" w:eastAsia="Arial" w:hAnsi="Arial" w:cs="Arial"/>
          <w:i/>
          <w:sz w:val="22"/>
          <w:szCs w:val="22"/>
        </w:rPr>
        <w:t>Kumari v the Netherlands; Martinez Alvarado v the Netherlands</w:t>
      </w:r>
      <w:r w:rsidRPr="47D51BD3">
        <w:rPr>
          <w:rFonts w:ascii="Arial" w:eastAsia="Arial" w:hAnsi="Arial" w:cs="Arial"/>
          <w:sz w:val="22"/>
          <w:szCs w:val="22"/>
        </w:rPr>
        <w:t>),</w:t>
      </w:r>
      <w:bookmarkStart w:id="11" w:name="_Ref234485282"/>
      <w:r w:rsidR="00651471" w:rsidRPr="47D51BD3">
        <w:rPr>
          <w:rStyle w:val="FootnoteReference"/>
          <w:rFonts w:ascii="Arial" w:eastAsia="Arial" w:hAnsi="Arial" w:cs="Arial"/>
          <w:i/>
          <w:sz w:val="22"/>
          <w:szCs w:val="22"/>
        </w:rPr>
        <w:footnoteReference w:id="83"/>
      </w:r>
      <w:bookmarkEnd w:id="11"/>
      <w:r w:rsidRPr="47D51BD3">
        <w:rPr>
          <w:rFonts w:ascii="Arial" w:eastAsia="Arial" w:hAnsi="Arial" w:cs="Arial"/>
          <w:sz w:val="22"/>
          <w:szCs w:val="22"/>
        </w:rPr>
        <w:t xml:space="preserve"> a test the Court of Appeal has since applied directly in a case concerning two adult siblings, one in Gaza, finding that Article 8 was not engaged at all (</w:t>
      </w:r>
      <w:r w:rsidRPr="47D51BD3">
        <w:rPr>
          <w:rFonts w:ascii="Arial" w:eastAsia="Arial" w:hAnsi="Arial" w:cs="Arial"/>
          <w:i/>
          <w:sz w:val="22"/>
          <w:szCs w:val="22"/>
        </w:rPr>
        <w:t>IA and Others v Secretary of State for the Home Department</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84"/>
      </w:r>
    </w:p>
    <w:p w14:paraId="29A0D320" w14:textId="5293A32E" w:rsidR="00651471" w:rsidRPr="009908E8" w:rsidRDefault="0603F9AF" w:rsidP="009E3834">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Clause 18(4), subsection (5)(b) talks about how mental and physical illnesses are not to be counted as an additional element of dependency when taken into account separately</w:t>
      </w:r>
      <w:r w:rsidR="008F18B2">
        <w:rPr>
          <w:rFonts w:ascii="Arial" w:eastAsia="Arial" w:hAnsi="Arial" w:cs="Arial"/>
          <w:sz w:val="22"/>
          <w:szCs w:val="22"/>
        </w:rPr>
        <w:t xml:space="preserve">, </w:t>
      </w:r>
      <w:r w:rsidR="008F18B2" w:rsidRPr="008F18B2">
        <w:rPr>
          <w:rFonts w:ascii="Arial" w:eastAsia="Arial" w:hAnsi="Arial" w:cs="Arial"/>
          <w:sz w:val="22"/>
          <w:szCs w:val="22"/>
        </w:rPr>
        <w:t>except where the illness is so severe that the person is incapacitated and in need of constant care that only the sponsor can adequately provide in the UK</w:t>
      </w:r>
      <w:r w:rsidR="00EB4821">
        <w:rPr>
          <w:rFonts w:ascii="Arial" w:eastAsia="Arial" w:hAnsi="Arial" w:cs="Arial"/>
          <w:sz w:val="22"/>
          <w:szCs w:val="22"/>
        </w:rPr>
        <w:t>.</w:t>
      </w:r>
      <w:r w:rsidRPr="47D51BD3">
        <w:rPr>
          <w:rFonts w:ascii="Arial" w:eastAsia="Arial" w:hAnsi="Arial" w:cs="Arial"/>
          <w:sz w:val="22"/>
          <w:szCs w:val="22"/>
        </w:rPr>
        <w:t xml:space="preserve"> This </w:t>
      </w:r>
      <w:r w:rsidR="00EB4821">
        <w:rPr>
          <w:rFonts w:ascii="Arial" w:eastAsia="Arial" w:hAnsi="Arial" w:cs="Arial"/>
          <w:sz w:val="22"/>
          <w:szCs w:val="22"/>
        </w:rPr>
        <w:t>threshold may fall short of</w:t>
      </w:r>
      <w:r w:rsidRPr="47D51BD3">
        <w:rPr>
          <w:rFonts w:ascii="Arial" w:eastAsia="Arial" w:hAnsi="Arial" w:cs="Arial"/>
          <w:sz w:val="22"/>
          <w:szCs w:val="22"/>
        </w:rPr>
        <w:t xml:space="preserve"> the ECtHR </w:t>
      </w:r>
      <w:r w:rsidR="00EB4821">
        <w:rPr>
          <w:rFonts w:ascii="Arial" w:eastAsia="Arial" w:hAnsi="Arial" w:cs="Arial"/>
          <w:sz w:val="22"/>
          <w:szCs w:val="22"/>
        </w:rPr>
        <w:t>approach</w:t>
      </w:r>
      <w:r w:rsidRPr="47D51BD3">
        <w:rPr>
          <w:rFonts w:ascii="Arial" w:eastAsia="Arial" w:hAnsi="Arial" w:cs="Arial"/>
          <w:sz w:val="22"/>
          <w:szCs w:val="22"/>
        </w:rPr>
        <w:t xml:space="preserve"> in </w:t>
      </w:r>
      <w:r w:rsidRPr="47D51BD3">
        <w:rPr>
          <w:rFonts w:ascii="Arial" w:eastAsia="Arial" w:hAnsi="Arial" w:cs="Arial"/>
          <w:i/>
          <w:sz w:val="22"/>
          <w:szCs w:val="22"/>
        </w:rPr>
        <w:t>Martinez Alvarado</w:t>
      </w:r>
      <w:r w:rsidRPr="47D51BD3">
        <w:rPr>
          <w:rFonts w:ascii="Arial" w:eastAsia="Arial" w:hAnsi="Arial" w:cs="Arial"/>
          <w:sz w:val="22"/>
          <w:szCs w:val="22"/>
        </w:rPr>
        <w:t>, whe</w:t>
      </w:r>
      <w:r w:rsidR="00EB4821">
        <w:rPr>
          <w:rFonts w:ascii="Arial" w:eastAsia="Arial" w:hAnsi="Arial" w:cs="Arial"/>
          <w:sz w:val="22"/>
          <w:szCs w:val="22"/>
        </w:rPr>
        <w:t>re</w:t>
      </w:r>
      <w:r w:rsidRPr="47D51BD3">
        <w:rPr>
          <w:rFonts w:ascii="Arial" w:eastAsia="Arial" w:hAnsi="Arial" w:cs="Arial"/>
          <w:sz w:val="22"/>
          <w:szCs w:val="22"/>
        </w:rPr>
        <w:t xml:space="preserve"> the applicant’s disability renders him “fully dependent in his daily life on the care of others”</w:t>
      </w:r>
      <w:r w:rsidR="00651471" w:rsidRPr="47D51BD3">
        <w:rPr>
          <w:rStyle w:val="FootnoteReference"/>
          <w:rFonts w:ascii="Arial" w:eastAsia="Arial" w:hAnsi="Arial" w:cs="Arial"/>
          <w:sz w:val="22"/>
          <w:szCs w:val="22"/>
        </w:rPr>
        <w:footnoteReference w:id="85"/>
      </w:r>
      <w:r w:rsidRPr="47D51BD3">
        <w:rPr>
          <w:rFonts w:ascii="Arial" w:eastAsia="Arial" w:hAnsi="Arial" w:cs="Arial"/>
          <w:sz w:val="22"/>
          <w:szCs w:val="22"/>
        </w:rPr>
        <w:t xml:space="preserve"> which should be regarded as an additional element of dependency. </w:t>
      </w:r>
    </w:p>
    <w:p w14:paraId="19D03B88" w14:textId="417EF0FD"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Critically, Strasbourg's test allows this dependency finding to rest on a combination of elements, such as financial, health-related, and </w:t>
      </w:r>
      <w:r w:rsidR="20178809" w:rsidRPr="47D51BD3">
        <w:rPr>
          <w:rFonts w:ascii="Arial" w:eastAsia="Arial" w:hAnsi="Arial" w:cs="Arial"/>
          <w:sz w:val="22"/>
          <w:szCs w:val="22"/>
        </w:rPr>
        <w:t>emot</w:t>
      </w:r>
      <w:r w:rsidR="02A8255F" w:rsidRPr="47D51BD3">
        <w:rPr>
          <w:rFonts w:ascii="Arial" w:eastAsia="Arial" w:hAnsi="Arial" w:cs="Arial"/>
          <w:sz w:val="22"/>
          <w:szCs w:val="22"/>
        </w:rPr>
        <w:t>ional</w:t>
      </w:r>
      <w:r w:rsidRPr="47D51BD3">
        <w:rPr>
          <w:rFonts w:ascii="Arial" w:eastAsia="Arial" w:hAnsi="Arial" w:cs="Arial"/>
          <w:sz w:val="22"/>
          <w:szCs w:val="22"/>
        </w:rPr>
        <w:t>, all assessed together on the individual facts, and operating at the stage of deciding whether family life exists, not only at the later fairness stage.</w:t>
      </w:r>
    </w:p>
    <w:p w14:paraId="6488A021" w14:textId="0BE75C52"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Clause 18 replicates part of this structure but</w:t>
      </w:r>
      <w:r w:rsidR="00E47830">
        <w:rPr>
          <w:rFonts w:ascii="Arial" w:eastAsia="Arial" w:hAnsi="Arial" w:cs="Arial"/>
          <w:sz w:val="22"/>
          <w:szCs w:val="22"/>
        </w:rPr>
        <w:t xml:space="preserve"> </w:t>
      </w:r>
      <w:r w:rsidRPr="47D51BD3">
        <w:rPr>
          <w:rFonts w:ascii="Arial" w:eastAsia="Arial" w:hAnsi="Arial" w:cs="Arial"/>
          <w:sz w:val="22"/>
          <w:szCs w:val="22"/>
        </w:rPr>
        <w:t>s.117</w:t>
      </w:r>
      <w:proofErr w:type="gramStart"/>
      <w:r w:rsidRPr="47D51BD3">
        <w:rPr>
          <w:rFonts w:ascii="Arial" w:eastAsia="Arial" w:hAnsi="Arial" w:cs="Arial"/>
          <w:sz w:val="22"/>
          <w:szCs w:val="22"/>
        </w:rPr>
        <w:t>AA(</w:t>
      </w:r>
      <w:proofErr w:type="gramEnd"/>
      <w:r w:rsidRPr="47D51BD3">
        <w:rPr>
          <w:rFonts w:ascii="Arial" w:eastAsia="Arial" w:hAnsi="Arial" w:cs="Arial"/>
          <w:sz w:val="22"/>
          <w:szCs w:val="22"/>
        </w:rPr>
        <w:t>5) excludes financial dependency, illness, emotional reliance, and living in a conflict-affected country from counting "independently". s117</w:t>
      </w:r>
      <w:proofErr w:type="gramStart"/>
      <w:r w:rsidRPr="47D51BD3">
        <w:rPr>
          <w:rFonts w:ascii="Arial" w:eastAsia="Arial" w:hAnsi="Arial" w:cs="Arial"/>
          <w:sz w:val="22"/>
          <w:szCs w:val="22"/>
        </w:rPr>
        <w:t>AA(</w:t>
      </w:r>
      <w:proofErr w:type="gramEnd"/>
      <w:r w:rsidR="001F0F1A">
        <w:rPr>
          <w:rFonts w:ascii="Arial" w:eastAsia="Arial" w:hAnsi="Arial" w:cs="Arial"/>
          <w:sz w:val="22"/>
          <w:szCs w:val="22"/>
        </w:rPr>
        <w:t>6</w:t>
      </w:r>
      <w:r w:rsidRPr="47D51BD3">
        <w:rPr>
          <w:rFonts w:ascii="Arial" w:eastAsia="Arial" w:hAnsi="Arial" w:cs="Arial"/>
          <w:sz w:val="22"/>
          <w:szCs w:val="22"/>
        </w:rPr>
        <w:t xml:space="preserve">) </w:t>
      </w:r>
      <w:r w:rsidR="00DF1B8B">
        <w:rPr>
          <w:rFonts w:ascii="Arial" w:eastAsia="Arial" w:hAnsi="Arial" w:cs="Arial"/>
          <w:sz w:val="22"/>
          <w:szCs w:val="22"/>
        </w:rPr>
        <w:t xml:space="preserve">confirms </w:t>
      </w:r>
      <w:r w:rsidRPr="47D51BD3">
        <w:rPr>
          <w:rFonts w:ascii="Arial" w:eastAsia="Arial" w:hAnsi="Arial" w:cs="Arial"/>
          <w:sz w:val="22"/>
          <w:szCs w:val="22"/>
        </w:rPr>
        <w:t xml:space="preserve">these factors </w:t>
      </w:r>
      <w:r w:rsidR="00DF1B8B">
        <w:rPr>
          <w:rFonts w:ascii="Arial" w:eastAsia="Arial" w:hAnsi="Arial" w:cs="Arial"/>
          <w:sz w:val="22"/>
          <w:szCs w:val="22"/>
        </w:rPr>
        <w:t>remain relevant when determining the public interest question. It is not clear whether this limits their combination to that later stage</w:t>
      </w:r>
      <w:r w:rsidR="00CF1C6A">
        <w:rPr>
          <w:rFonts w:ascii="Arial" w:eastAsia="Arial" w:hAnsi="Arial" w:cs="Arial"/>
          <w:sz w:val="22"/>
          <w:szCs w:val="22"/>
        </w:rPr>
        <w:t xml:space="preserve">, or if it remains available when first deciding whether family life exists at all. If the former, s.18 </w:t>
      </w:r>
      <w:r w:rsidR="00893434">
        <w:rPr>
          <w:rFonts w:ascii="Arial" w:eastAsia="Arial" w:hAnsi="Arial" w:cs="Arial"/>
          <w:sz w:val="22"/>
          <w:szCs w:val="22"/>
        </w:rPr>
        <w:t xml:space="preserve">is narrower than Kumari itself, </w:t>
      </w:r>
      <w:r w:rsidRPr="47D51BD3">
        <w:rPr>
          <w:rFonts w:ascii="Arial" w:eastAsia="Arial" w:hAnsi="Arial" w:cs="Arial"/>
          <w:sz w:val="22"/>
          <w:szCs w:val="22"/>
        </w:rPr>
        <w:t xml:space="preserve">which could result in this section being incompatible with the Convention. </w:t>
      </w:r>
    </w:p>
    <w:p w14:paraId="6873F604" w14:textId="2E84F606" w:rsidR="00651471" w:rsidRPr="009908E8" w:rsidRDefault="0603F9AF" w:rsidP="009E3834">
      <w:pPr>
        <w:numPr>
          <w:ilvl w:val="0"/>
          <w:numId w:val="3"/>
        </w:numPr>
        <w:spacing w:line="276" w:lineRule="auto"/>
        <w:jc w:val="both"/>
        <w:rPr>
          <w:rFonts w:ascii="Arial" w:eastAsia="Arial" w:hAnsi="Arial" w:cs="Arial"/>
          <w:sz w:val="22"/>
          <w:szCs w:val="22"/>
        </w:rPr>
      </w:pPr>
      <w:proofErr w:type="gramStart"/>
      <w:r w:rsidRPr="47D51BD3">
        <w:rPr>
          <w:rFonts w:ascii="Arial" w:eastAsia="Arial" w:hAnsi="Arial" w:cs="Arial"/>
          <w:sz w:val="22"/>
          <w:szCs w:val="22"/>
        </w:rPr>
        <w:t>It is clear that Strasbourg</w:t>
      </w:r>
      <w:proofErr w:type="gramEnd"/>
      <w:r w:rsidRPr="47D51BD3">
        <w:rPr>
          <w:rFonts w:ascii="Arial" w:eastAsia="Arial" w:hAnsi="Arial" w:cs="Arial"/>
          <w:sz w:val="22"/>
          <w:szCs w:val="22"/>
        </w:rPr>
        <w:t xml:space="preserve"> is not invariably generous on this issue. Thus, either this Bill simply restates where Strasbourg’s own case law already sits, which is a legally pointless exercise, or it goes further, making it incompatible with the Convention. </w:t>
      </w:r>
      <w:r w:rsidR="007F5BF7">
        <w:rPr>
          <w:rFonts w:ascii="Arial" w:eastAsia="Arial" w:hAnsi="Arial" w:cs="Arial"/>
          <w:sz w:val="22"/>
          <w:szCs w:val="22"/>
        </w:rPr>
        <w:t>Given the significance of</w:t>
      </w:r>
      <w:r w:rsidR="009B709C">
        <w:rPr>
          <w:rFonts w:ascii="Arial" w:eastAsia="Arial" w:hAnsi="Arial" w:cs="Arial"/>
          <w:sz w:val="22"/>
          <w:szCs w:val="22"/>
        </w:rPr>
        <w:t xml:space="preserve"> this, this ambiguity should be clarified before the Bill completes its passage.</w:t>
      </w:r>
    </w:p>
    <w:p w14:paraId="43B1E419" w14:textId="01578B54"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19: Public interest considerations</w:t>
      </w:r>
    </w:p>
    <w:p w14:paraId="1A887B76" w14:textId="797080BB" w:rsidR="00651471" w:rsidRPr="009908E8" w:rsidRDefault="0603F9AF" w:rsidP="009E3834">
      <w:pPr>
        <w:pStyle w:val="ListParagraph"/>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s.19(2) substitutes new wording into s.117B(3) of the Nationality, Immigration and Asylum </w:t>
      </w:r>
      <w:r w:rsidR="5F2A0C3D" w:rsidRPr="47D51BD3">
        <w:rPr>
          <w:rFonts w:ascii="Arial" w:eastAsia="Arial" w:hAnsi="Arial" w:cs="Arial"/>
          <w:sz w:val="22"/>
          <w:szCs w:val="22"/>
        </w:rPr>
        <w:t xml:space="preserve">Act </w:t>
      </w:r>
      <w:r w:rsidRPr="47D51BD3">
        <w:rPr>
          <w:rFonts w:ascii="Arial" w:eastAsia="Arial" w:hAnsi="Arial" w:cs="Arial"/>
          <w:sz w:val="22"/>
          <w:szCs w:val="22"/>
        </w:rPr>
        <w:t xml:space="preserve">2002. The public interest would now require a person to be and be likely to remain: (a) financially independent; (b) able to house themselves and any dependants adequately without reliance on state support; and (c) not likely to become reliant on public services, in particular health or social care services, in the long term. While (a) and (b) can be assessed on the facts as they stand, (c) is a forward-looking prediction about whether someone might, at some unspecified point in the future, become reliant on the NHS or social care. This is a fundamentally harder test to rebut, and the Bill does not specify how it plans to measure this future possibility. </w:t>
      </w:r>
    </w:p>
    <w:p w14:paraId="00F51252" w14:textId="2169C57B"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s.19(3) inserts a new s.117B(3A): it is in the public interest that a person has not been convicted of a criminal offence, in the United Kingdom or elsewhere, has co-operated with immigration authorities and processes, and is otherwise of good character. We find this clause </w:t>
      </w:r>
      <w:r w:rsidR="2C615C4E" w:rsidRPr="47D51BD3">
        <w:rPr>
          <w:rFonts w:ascii="Arial" w:eastAsia="Arial" w:hAnsi="Arial" w:cs="Arial"/>
          <w:sz w:val="22"/>
          <w:szCs w:val="22"/>
        </w:rPr>
        <w:t>very</w:t>
      </w:r>
      <w:r w:rsidRPr="47D51BD3">
        <w:rPr>
          <w:rFonts w:ascii="Arial" w:eastAsia="Arial" w:hAnsi="Arial" w:cs="Arial"/>
          <w:sz w:val="22"/>
          <w:szCs w:val="22"/>
        </w:rPr>
        <w:t xml:space="preserve"> concerning, as "any criminal offence" is used broadly, without specifying whether it relates to any conviction, committed anywhere and at any time. Similarly, the addition of "good character" is a new element, undefined anywhere in the Bill or the Explanatory Notes. Where this term already exists in immigration and nationality law, in naturalisation decisions under the British Nationality Act 1981,</w:t>
      </w:r>
      <w:r w:rsidR="00651471" w:rsidRPr="47D51BD3">
        <w:rPr>
          <w:rStyle w:val="FootnoteReference"/>
          <w:rFonts w:ascii="Arial" w:eastAsia="Arial" w:hAnsi="Arial" w:cs="Arial"/>
          <w:sz w:val="22"/>
          <w:szCs w:val="22"/>
        </w:rPr>
        <w:footnoteReference w:id="86"/>
      </w:r>
      <w:r w:rsidRPr="47D51BD3">
        <w:rPr>
          <w:rFonts w:ascii="Arial" w:eastAsia="Arial" w:hAnsi="Arial" w:cs="Arial"/>
          <w:sz w:val="22"/>
          <w:szCs w:val="22"/>
        </w:rPr>
        <w:t xml:space="preserve"> it is accompanied by detailed published Home Office guidance setting out tapering time limits by sentence length.</w:t>
      </w:r>
      <w:r w:rsidR="001B08BF" w:rsidRPr="47D51BD3">
        <w:rPr>
          <w:rStyle w:val="FootnoteReference"/>
          <w:rFonts w:ascii="Arial" w:eastAsia="Arial" w:hAnsi="Arial" w:cs="Arial"/>
          <w:sz w:val="22"/>
          <w:szCs w:val="22"/>
        </w:rPr>
        <w:footnoteReference w:id="87"/>
      </w:r>
      <w:r w:rsidRPr="47D51BD3">
        <w:rPr>
          <w:rFonts w:ascii="Arial" w:eastAsia="Arial" w:hAnsi="Arial" w:cs="Arial"/>
          <w:sz w:val="22"/>
          <w:szCs w:val="22"/>
        </w:rPr>
        <w:t xml:space="preserve"> There is no equivalent guidance referenced here.</w:t>
      </w:r>
    </w:p>
    <w:p w14:paraId="54CC8CF5" w14:textId="7ACD3469"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s.19(4) states that no weight is to be given to private or family life established while a person requires leave but does not have it, or obtained by deception, or is in serious breach of a condition of their leave. There is no definition of what constitute a serious breach of conditions in the Bill. Conversely, the Serious Crime Act 2007 defines serious crime precisely, listing specific qualifying offences in Schedule 1,</w:t>
      </w:r>
      <w:r w:rsidR="00651471" w:rsidRPr="47D51BD3">
        <w:rPr>
          <w:rStyle w:val="FootnoteReference"/>
          <w:rFonts w:ascii="Arial" w:eastAsia="Arial" w:hAnsi="Arial" w:cs="Arial"/>
          <w:sz w:val="22"/>
          <w:szCs w:val="22"/>
        </w:rPr>
        <w:footnoteReference w:id="88"/>
      </w:r>
      <w:r w:rsidRPr="47D51BD3">
        <w:rPr>
          <w:rFonts w:ascii="Arial" w:eastAsia="Arial" w:hAnsi="Arial" w:cs="Arial"/>
          <w:sz w:val="22"/>
          <w:szCs w:val="22"/>
        </w:rPr>
        <w:t xml:space="preserve"> rather than leaving the term open to interpretation. We are concerned that an attempt to divide immigration breaches into serious and non-serious ones can lead to adverse consequences, exacerbated even further by the lack of clear guidance. </w:t>
      </w:r>
    </w:p>
    <w:p w14:paraId="4648838C" w14:textId="09ABB835"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s.19(5) separately amends s.117B(5) to extend the softer, existing "little weight" rule to family life formed during a period with precarious status.</w:t>
      </w:r>
    </w:p>
    <w:p w14:paraId="66EB706B" w14:textId="317A8320"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Under s.19(6), even where a person has a genuine parental relationship with a qualifying child and it would not be reasonable for the child to leave the UK, courts must now also consider whether removal would have "a very significant and long-lasting adverse effect" on the child if the child remained in the UK. s.19(7) inserts a closed, exhaustive list of exactly three conditions</w:t>
      </w:r>
      <w:r w:rsidR="00C27BD7">
        <w:rPr>
          <w:rFonts w:ascii="Arial" w:eastAsia="Arial" w:hAnsi="Arial" w:cs="Arial"/>
          <w:sz w:val="22"/>
          <w:szCs w:val="22"/>
        </w:rPr>
        <w:t xml:space="preserve">, one or more of which </w:t>
      </w:r>
      <w:r w:rsidRPr="47D51BD3">
        <w:rPr>
          <w:rFonts w:ascii="Arial" w:eastAsia="Arial" w:hAnsi="Arial" w:cs="Arial"/>
          <w:sz w:val="22"/>
          <w:szCs w:val="22"/>
        </w:rPr>
        <w:t xml:space="preserve">must be met, using "if (and only if)" drafting. If none of the three named conditions is met, it is, as a matter of statutory definition, reasonable for the child to leave, regardless of other sympathetic facts a judge might otherwise </w:t>
      </w:r>
      <w:r w:rsidR="72347F41" w:rsidRPr="47D51BD3">
        <w:rPr>
          <w:rFonts w:ascii="Arial" w:eastAsia="Arial" w:hAnsi="Arial" w:cs="Arial"/>
          <w:sz w:val="22"/>
          <w:szCs w:val="22"/>
        </w:rPr>
        <w:t>consider</w:t>
      </w:r>
      <w:r w:rsidRPr="47D51BD3">
        <w:rPr>
          <w:rFonts w:ascii="Arial" w:eastAsia="Arial" w:hAnsi="Arial" w:cs="Arial"/>
          <w:sz w:val="22"/>
          <w:szCs w:val="22"/>
        </w:rPr>
        <w:t>.</w:t>
      </w:r>
    </w:p>
    <w:p w14:paraId="71449B8D" w14:textId="171F5C0D"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This is one of the clearest examples in the Bill of legislation deliberately overriding an established, flexible case-law standard with a closed statutory test. The "if (and only if)" drafting removes judicial discretion to consider relevant circumstances falling outside the three listed conditions, even where a judge might otherwise find them compelling, and does so in relation to some of the most vulnerable people this Bill affects.</w:t>
      </w:r>
    </w:p>
    <w:p w14:paraId="70105287" w14:textId="238209D9"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E</w:t>
      </w:r>
      <w:r w:rsidR="29F11DF8" w:rsidRPr="47D51BD3">
        <w:rPr>
          <w:rFonts w:ascii="Arial" w:eastAsia="Arial" w:hAnsi="Arial" w:cs="Arial"/>
          <w:sz w:val="22"/>
          <w:szCs w:val="22"/>
        </w:rPr>
        <w:t>CtHR</w:t>
      </w:r>
      <w:r w:rsidRPr="47D51BD3">
        <w:rPr>
          <w:rFonts w:ascii="Arial" w:eastAsia="Arial" w:hAnsi="Arial" w:cs="Arial"/>
          <w:sz w:val="22"/>
          <w:szCs w:val="22"/>
        </w:rPr>
        <w:t xml:space="preserve"> has held that a fixed weighting of factors must still allow a court to adequately balance the applicant's interests against the public interest, having regard to their particular situation (</w:t>
      </w:r>
      <w:proofErr w:type="spellStart"/>
      <w:r w:rsidRPr="47D51BD3">
        <w:rPr>
          <w:rFonts w:ascii="Arial" w:eastAsia="Arial" w:hAnsi="Arial" w:cs="Arial"/>
          <w:i/>
          <w:sz w:val="22"/>
          <w:szCs w:val="22"/>
        </w:rPr>
        <w:t>Unuane</w:t>
      </w:r>
      <w:proofErr w:type="spellEnd"/>
      <w:r w:rsidRPr="47D51BD3">
        <w:rPr>
          <w:rFonts w:ascii="Arial" w:eastAsia="Arial" w:hAnsi="Arial" w:cs="Arial"/>
          <w:i/>
          <w:sz w:val="22"/>
          <w:szCs w:val="22"/>
        </w:rPr>
        <w:t xml:space="preserve"> v United Kingdom</w:t>
      </w:r>
      <w:r w:rsidRPr="47D51BD3">
        <w:rPr>
          <w:rFonts w:ascii="Arial" w:eastAsia="Arial" w:hAnsi="Arial" w:cs="Arial"/>
          <w:sz w:val="22"/>
          <w:szCs w:val="22"/>
        </w:rPr>
        <w:t>).</w:t>
      </w:r>
      <w:r w:rsidR="00651471" w:rsidRPr="47D51BD3">
        <w:rPr>
          <w:rStyle w:val="FootnoteReference"/>
          <w:rFonts w:ascii="Arial" w:eastAsia="Arial" w:hAnsi="Arial" w:cs="Arial"/>
          <w:sz w:val="22"/>
          <w:szCs w:val="22"/>
        </w:rPr>
        <w:footnoteReference w:id="89"/>
      </w:r>
      <w:r w:rsidRPr="47D51BD3">
        <w:rPr>
          <w:rFonts w:ascii="Arial" w:eastAsia="Arial" w:hAnsi="Arial" w:cs="Arial"/>
          <w:sz w:val="22"/>
          <w:szCs w:val="22"/>
        </w:rPr>
        <w:t xml:space="preserve"> Statutory weighting that leaves no room for that individualised assessment risks falling short of this requirement. </w:t>
      </w:r>
    </w:p>
    <w:p w14:paraId="3D3AEADF" w14:textId="27579B9E"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S.19(6)-(7) are arguably against s.55 of the Borders, Citizenship and Immigration Act 2009 which places a </w:t>
      </w:r>
      <w:r w:rsidR="4AE18F95" w:rsidRPr="47D51BD3">
        <w:rPr>
          <w:rFonts w:ascii="Arial" w:eastAsia="Arial" w:hAnsi="Arial" w:cs="Arial"/>
          <w:sz w:val="22"/>
          <w:szCs w:val="22"/>
        </w:rPr>
        <w:t>d</w:t>
      </w:r>
      <w:r w:rsidRPr="47D51BD3">
        <w:rPr>
          <w:rFonts w:ascii="Arial" w:eastAsia="Arial" w:hAnsi="Arial" w:cs="Arial"/>
          <w:sz w:val="22"/>
          <w:szCs w:val="22"/>
        </w:rPr>
        <w:t>uty regarding the welfare of children who are in the United Kingdom on the Secretary of State for the Home Department</w:t>
      </w:r>
      <w:r w:rsidR="00651471" w:rsidRPr="47D51BD3">
        <w:rPr>
          <w:rStyle w:val="FootnoteReference"/>
          <w:rFonts w:ascii="Arial" w:eastAsia="Arial" w:hAnsi="Arial" w:cs="Arial"/>
          <w:sz w:val="22"/>
          <w:szCs w:val="22"/>
        </w:rPr>
        <w:footnoteReference w:id="90"/>
      </w:r>
      <w:r w:rsidRPr="47D51BD3">
        <w:rPr>
          <w:rFonts w:ascii="Arial" w:eastAsia="Arial" w:hAnsi="Arial" w:cs="Arial"/>
          <w:sz w:val="22"/>
          <w:szCs w:val="22"/>
        </w:rPr>
        <w:t>.</w:t>
      </w:r>
    </w:p>
    <w:p w14:paraId="18514129" w14:textId="4792ED7D"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The wording of s.19(6) does not require best interests to be considered as such; instead, it narrows the relevant question to a closed list of three conditions. While education, integration, and adverse effect are all legitimate considerations, a rigid list that leaves no room to present a child's individual circumstances means that, where none of the three conditions is met, the child's best interests are not considered at all, regardless of what those interests actually are.</w:t>
      </w:r>
    </w:p>
    <w:p w14:paraId="003D74B3" w14:textId="59BB96BF" w:rsidR="00651471" w:rsidRPr="009908E8" w:rsidRDefault="0603F9AF" w:rsidP="009E3834">
      <w:pPr>
        <w:numPr>
          <w:ilvl w:val="0"/>
          <w:numId w:val="3"/>
        </w:numPr>
        <w:spacing w:line="276" w:lineRule="auto"/>
        <w:jc w:val="both"/>
        <w:rPr>
          <w:rFonts w:ascii="Arial" w:eastAsia="Arial" w:hAnsi="Arial" w:cs="Arial"/>
          <w:sz w:val="22"/>
          <w:szCs w:val="22"/>
        </w:rPr>
      </w:pPr>
      <w:r w:rsidRPr="47D51BD3">
        <w:rPr>
          <w:rFonts w:ascii="Arial" w:eastAsia="Arial" w:hAnsi="Arial" w:cs="Arial"/>
          <w:sz w:val="22"/>
          <w:szCs w:val="22"/>
        </w:rPr>
        <w:t xml:space="preserve">The consequences of failing to properly conduct a s.55 exercise were recently addressed by the Court of Appeal in </w:t>
      </w:r>
      <w:r w:rsidRPr="47D51BD3">
        <w:rPr>
          <w:rFonts w:ascii="Arial" w:eastAsia="Arial" w:hAnsi="Arial" w:cs="Arial"/>
          <w:i/>
          <w:sz w:val="22"/>
          <w:szCs w:val="22"/>
        </w:rPr>
        <w:t>R (DM) v Secretary of State for the Home Department and UNHCR</w:t>
      </w:r>
      <w:r w:rsidRPr="47D51BD3">
        <w:rPr>
          <w:rFonts w:ascii="Arial" w:eastAsia="Arial" w:hAnsi="Arial" w:cs="Arial"/>
          <w:sz w:val="22"/>
          <w:szCs w:val="22"/>
        </w:rPr>
        <w:t>, in which the Secretary of State was found to have failed to carry out a proper s.55 best interests assessment in applying her family reunion policy to child refugees separated from their parents.</w:t>
      </w:r>
      <w:r w:rsidR="00651471" w:rsidRPr="47D51BD3">
        <w:rPr>
          <w:rStyle w:val="FootnoteReference"/>
          <w:rFonts w:ascii="Arial" w:eastAsia="Arial" w:hAnsi="Arial" w:cs="Arial"/>
          <w:sz w:val="22"/>
          <w:szCs w:val="22"/>
        </w:rPr>
        <w:footnoteReference w:id="91"/>
      </w:r>
      <w:r w:rsidRPr="47D51BD3">
        <w:rPr>
          <w:rFonts w:ascii="Arial" w:eastAsia="Arial" w:hAnsi="Arial" w:cs="Arial"/>
          <w:sz w:val="22"/>
          <w:szCs w:val="22"/>
        </w:rPr>
        <w:t xml:space="preserve"> The same risks arise here</w:t>
      </w:r>
      <w:r w:rsidR="000133FE">
        <w:rPr>
          <w:rFonts w:ascii="Arial" w:eastAsia="Arial" w:hAnsi="Arial" w:cs="Arial"/>
          <w:sz w:val="22"/>
          <w:szCs w:val="22"/>
        </w:rPr>
        <w:t xml:space="preserve"> in the Secretary of State</w:t>
      </w:r>
      <w:r w:rsidR="00E03BE2">
        <w:rPr>
          <w:rFonts w:ascii="Arial" w:eastAsia="Arial" w:hAnsi="Arial" w:cs="Arial"/>
          <w:sz w:val="22"/>
          <w:szCs w:val="22"/>
        </w:rPr>
        <w:t xml:space="preserve">’s </w:t>
      </w:r>
      <w:r w:rsidR="00050414">
        <w:rPr>
          <w:rFonts w:ascii="Arial" w:eastAsia="Arial" w:hAnsi="Arial" w:cs="Arial"/>
          <w:sz w:val="22"/>
          <w:szCs w:val="22"/>
        </w:rPr>
        <w:t>decision-making.</w:t>
      </w:r>
    </w:p>
    <w:p w14:paraId="50B2B059" w14:textId="461520B6"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20: Cases involving foreign criminals and others liable to deportation</w:t>
      </w:r>
    </w:p>
    <w:p w14:paraId="72241E72" w14:textId="6FA06845" w:rsidR="00651471" w:rsidRPr="009908E8" w:rsidRDefault="0603F9AF" w:rsidP="009D55C2">
      <w:pPr>
        <w:pStyle w:val="ListParagraph"/>
        <w:numPr>
          <w:ilvl w:val="0"/>
          <w:numId w:val="3"/>
        </w:numPr>
        <w:spacing w:line="276" w:lineRule="auto"/>
        <w:ind w:hanging="436"/>
        <w:jc w:val="both"/>
        <w:rPr>
          <w:rFonts w:ascii="Arial" w:eastAsia="Arial" w:hAnsi="Arial" w:cs="Arial"/>
          <w:sz w:val="22"/>
          <w:szCs w:val="22"/>
        </w:rPr>
      </w:pPr>
      <w:r w:rsidRPr="47D51BD3">
        <w:rPr>
          <w:rFonts w:ascii="Arial" w:eastAsia="Arial" w:hAnsi="Arial" w:cs="Arial"/>
          <w:sz w:val="22"/>
          <w:szCs w:val="22"/>
        </w:rPr>
        <w:t>The core test for resisting deportation, the three "exceptional circumstances" categories of long residence and integration, unduly harsh effect on a qualifying partner or child, and otherwise very compelling circumstances, is largely preserved from current law. ILPA does not take issue with this part of Clause 20 in isolation.</w:t>
      </w:r>
    </w:p>
    <w:p w14:paraId="77E00C5C" w14:textId="1C6138F6" w:rsidR="00651471" w:rsidRPr="009908E8" w:rsidRDefault="0603F9AF" w:rsidP="00923E70">
      <w:pPr>
        <w:numPr>
          <w:ilvl w:val="0"/>
          <w:numId w:val="3"/>
        </w:numPr>
        <w:spacing w:line="276" w:lineRule="auto"/>
        <w:ind w:hanging="436"/>
        <w:jc w:val="both"/>
        <w:rPr>
          <w:rFonts w:ascii="Arial" w:eastAsia="Arial" w:hAnsi="Arial" w:cs="Arial"/>
          <w:sz w:val="22"/>
          <w:szCs w:val="22"/>
        </w:rPr>
      </w:pPr>
      <w:r w:rsidRPr="47D51BD3">
        <w:rPr>
          <w:rFonts w:ascii="Arial" w:eastAsia="Arial" w:hAnsi="Arial" w:cs="Arial"/>
          <w:sz w:val="22"/>
          <w:szCs w:val="22"/>
        </w:rPr>
        <w:t>The real change is scope. The current "foreign criminal" definition, requiring a custodial sentence of at least 12 months, an offence causing "serious harm", or persistent offending, is deleted entirely.</w:t>
      </w:r>
      <w:r w:rsidR="00651471" w:rsidRPr="47D51BD3">
        <w:rPr>
          <w:rStyle w:val="FootnoteReference"/>
          <w:rFonts w:ascii="Arial" w:eastAsia="Arial" w:hAnsi="Arial" w:cs="Arial"/>
          <w:sz w:val="22"/>
          <w:szCs w:val="22"/>
        </w:rPr>
        <w:footnoteReference w:id="92"/>
      </w:r>
      <w:r w:rsidRPr="47D51BD3">
        <w:rPr>
          <w:rFonts w:ascii="Arial" w:eastAsia="Arial" w:hAnsi="Arial" w:cs="Arial"/>
          <w:sz w:val="22"/>
          <w:szCs w:val="22"/>
        </w:rPr>
        <w:t xml:space="preserve"> In its place, the new stricter category test would apply to anyone the Secretary of State is entitled to deport on "conducive to the public good" grounds, a much broader and more discretionary basis for deportation, with no sentence-length threshold at all. Removing a defined, objective threshold in favour of a broad discretionary ground widens the </w:t>
      </w:r>
      <w:r w:rsidR="78138D47" w:rsidRPr="47D51BD3">
        <w:rPr>
          <w:rFonts w:ascii="Arial" w:eastAsia="Arial" w:hAnsi="Arial" w:cs="Arial"/>
          <w:sz w:val="22"/>
          <w:szCs w:val="22"/>
        </w:rPr>
        <w:t>group</w:t>
      </w:r>
      <w:r w:rsidRPr="47D51BD3">
        <w:rPr>
          <w:rFonts w:ascii="Arial" w:eastAsia="Arial" w:hAnsi="Arial" w:cs="Arial"/>
          <w:sz w:val="22"/>
          <w:szCs w:val="22"/>
        </w:rPr>
        <w:t xml:space="preserve"> subject to the toughest deportation test, without Parliament having debated the removal of that threshold as a distinct policy choice.</w:t>
      </w:r>
    </w:p>
    <w:p w14:paraId="2F71EA2D" w14:textId="1F970BB9" w:rsidR="00923E70" w:rsidRPr="009908E8" w:rsidRDefault="00923E70" w:rsidP="00923E70">
      <w:pPr>
        <w:spacing w:line="276" w:lineRule="auto"/>
        <w:ind w:left="720"/>
        <w:jc w:val="both"/>
        <w:rPr>
          <w:rFonts w:ascii="Arial" w:eastAsia="Arial" w:hAnsi="Arial" w:cs="Arial"/>
          <w:sz w:val="22"/>
          <w:szCs w:val="22"/>
        </w:rPr>
      </w:pPr>
    </w:p>
    <w:p w14:paraId="11B6DA92" w14:textId="3DE6655C"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Part 3 Protection status and asylum </w:t>
      </w:r>
    </w:p>
    <w:p w14:paraId="2EEBCB9C" w14:textId="39FEE0D8" w:rsidR="00651471" w:rsidRPr="009908E8" w:rsidRDefault="00651471" w:rsidP="1B9E9B8D">
      <w:pPr>
        <w:spacing w:line="276" w:lineRule="auto"/>
        <w:rPr>
          <w:rFonts w:ascii="Arial" w:eastAsia="Arial" w:hAnsi="Arial" w:cs="Arial"/>
          <w:b/>
          <w:color w:val="404A68"/>
          <w:sz w:val="22"/>
          <w:szCs w:val="22"/>
        </w:rPr>
      </w:pPr>
    </w:p>
    <w:p w14:paraId="26EEFED5" w14:textId="5A3C9F4B"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What Part 3 does </w:t>
      </w:r>
    </w:p>
    <w:p w14:paraId="39B2FF15" w14:textId="2C440AC3" w:rsidR="00651471" w:rsidRPr="009908E8" w:rsidRDefault="0603F9AF" w:rsidP="00AD37E5">
      <w:pPr>
        <w:pStyle w:val="ListParagraph"/>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Part 3 comprises two clauses. Clause 21 creates a broad delegated power to</w:t>
      </w:r>
      <w:r w:rsidR="43A28D90" w:rsidRPr="47D51BD3">
        <w:rPr>
          <w:rFonts w:ascii="Arial" w:eastAsia="Arial" w:hAnsi="Arial" w:cs="Arial"/>
          <w:sz w:val="22"/>
          <w:szCs w:val="22"/>
        </w:rPr>
        <w:t xml:space="preserve"> </w:t>
      </w:r>
      <w:r w:rsidRPr="47D51BD3">
        <w:rPr>
          <w:rFonts w:ascii="Arial" w:eastAsia="Arial" w:hAnsi="Arial" w:cs="Arial"/>
          <w:sz w:val="22"/>
          <w:szCs w:val="22"/>
        </w:rPr>
        <w:t>introduce a single “core protection” status in place of the current categories of refugee status and humanitarian protection. Clause 22 changes how “lawfully staying” is interpreted for the purposes of the Refugee Convention.</w:t>
      </w:r>
      <w:bookmarkStart w:id="12" w:name="_Ref234397263"/>
      <w:r w:rsidR="00651471" w:rsidRPr="47D51BD3">
        <w:rPr>
          <w:rStyle w:val="FootnoteReference"/>
          <w:rFonts w:ascii="Arial" w:eastAsia="Arial" w:hAnsi="Arial" w:cs="Arial"/>
          <w:sz w:val="22"/>
          <w:szCs w:val="22"/>
        </w:rPr>
        <w:footnoteReference w:id="93"/>
      </w:r>
      <w:bookmarkEnd w:id="12"/>
    </w:p>
    <w:p w14:paraId="22F089F8" w14:textId="11688579"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21: Core Protection: regulations about protection status and protection claims</w:t>
      </w:r>
    </w:p>
    <w:p w14:paraId="00E9B18F" w14:textId="3B9449EB" w:rsidR="00651471" w:rsidRPr="009908E8" w:rsidRDefault="0603F9AF" w:rsidP="00310959">
      <w:pPr>
        <w:pStyle w:val="ListParagraph"/>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Clause</w:t>
      </w:r>
      <w:r w:rsidRPr="47D51BD3">
        <w:rPr>
          <w:rFonts w:ascii="Arial" w:eastAsia="Arial" w:hAnsi="Arial" w:cs="Arial"/>
          <w:sz w:val="22"/>
          <w:szCs w:val="22"/>
          <w:lang w:val="en-US"/>
        </w:rPr>
        <w:t xml:space="preserve"> 21 </w:t>
      </w:r>
      <w:r w:rsidRPr="47D51BD3">
        <w:rPr>
          <w:rFonts w:ascii="Arial" w:eastAsia="Arial" w:hAnsi="Arial" w:cs="Arial"/>
          <w:sz w:val="22"/>
          <w:szCs w:val="22"/>
        </w:rPr>
        <w:t>replaces two legally distinct categories, refugee status under the Refugee Convention and humanitarian protection, with a single “protection status,” granted on either the “Convention ground” or the “humanitarian protection ground” (s.21(2)). A “protection claim” is an application for that unified status.</w:t>
      </w:r>
      <w:r w:rsidR="00651471" w:rsidRPr="47D51BD3">
        <w:rPr>
          <w:rFonts w:ascii="Arial" w:eastAsia="Arial" w:hAnsi="Arial" w:cs="Arial"/>
          <w:sz w:val="22"/>
          <w:szCs w:val="22"/>
          <w:vertAlign w:val="superscript"/>
        </w:rPr>
        <w:footnoteReference w:id="94"/>
      </w:r>
    </w:p>
    <w:p w14:paraId="204D72D9" w14:textId="2CF20221" w:rsidR="00651471" w:rsidRPr="009908E8" w:rsidRDefault="0603F9AF" w:rsidP="006C6C92">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We flag with great concern that the detail of this substantial change is not in the Bill at all. S.21(1) grants the Secretary of State a broad power to make regulations “amending any enactment” in respect of protection status and protection claims. Parliament is being asked to approve the power to redefine one of the most consequential legal categories in the immigration system, the criteria by which a person is recognised as needing protection, without the substance of that redefinition being presented in the Bill. </w:t>
      </w:r>
    </w:p>
    <w:p w14:paraId="563BB5A4" w14:textId="496F21B9" w:rsidR="00651471" w:rsidRPr="009908E8" w:rsidRDefault="0603F9AF" w:rsidP="006C6C92">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concern is made even more acute by s.21(3)(d), which allows the Secretary of State to define “protection status” without reference to humanitarian protection or to the immigration rules as they currently stand. The regulations could therefore set out entirely new eligibility criteria, without having to reference the tests that exist today. The one-year sunset at s.21(6), after which no further regulations may be made under this power, limits only when the power can be exercised, not how far-reaching what is done within that year may be.</w:t>
      </w:r>
    </w:p>
    <w:p w14:paraId="31128A79" w14:textId="4C5D899D" w:rsidR="00D94DD7" w:rsidRPr="009908E8" w:rsidRDefault="0603F9AF" w:rsidP="006C6C92">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We reiterate that the UK's obligations to refugees under the Refugee Convention are fixed by that Convention, not by domestic drafting choices.</w:t>
      </w:r>
      <w:bookmarkStart w:id="13" w:name="_Ref234397354"/>
      <w:r w:rsidR="00651471" w:rsidRPr="47D51BD3">
        <w:rPr>
          <w:rFonts w:ascii="Arial" w:eastAsia="Arial" w:hAnsi="Arial" w:cs="Arial"/>
          <w:sz w:val="22"/>
          <w:szCs w:val="22"/>
          <w:vertAlign w:val="superscript"/>
        </w:rPr>
        <w:footnoteReference w:id="95"/>
      </w:r>
      <w:bookmarkEnd w:id="13"/>
      <w:r w:rsidRPr="47D51BD3">
        <w:rPr>
          <w:rFonts w:ascii="Arial" w:eastAsia="Arial" w:hAnsi="Arial" w:cs="Arial"/>
          <w:sz w:val="22"/>
          <w:szCs w:val="22"/>
        </w:rPr>
        <w:t xml:space="preserve"> A delegated power broad enough to redefine “protection status” without reference to existing categories carries a real risk that regulations made under it could create a domestic status that no longer aligns with the Convention definition of a refugee, or that departs from the UK's obligations in relation to those eligible for humanitarian protection. Whether that risk becomes a reality will depend entirely on regulations not yet published and which Parliament cannot scrutinise. That means that Parliament is asked to grant the Secretary of State for the Home Department the power to change the definition of protection status, without being able to review and guarantee its compliance with the Refugee Convention. </w:t>
      </w:r>
      <w:r w:rsidR="2E22C3A2" w:rsidRPr="47D51BD3">
        <w:rPr>
          <w:rFonts w:ascii="Arial" w:eastAsia="Arial" w:hAnsi="Arial" w:cs="Arial"/>
          <w:sz w:val="22"/>
          <w:szCs w:val="22"/>
        </w:rPr>
        <w:t xml:space="preserve">We note that </w:t>
      </w:r>
      <w:r w:rsidR="14BF1882" w:rsidRPr="47D51BD3">
        <w:rPr>
          <w:rFonts w:ascii="Arial" w:eastAsia="Arial" w:hAnsi="Arial" w:cs="Arial"/>
          <w:sz w:val="22"/>
          <w:szCs w:val="22"/>
        </w:rPr>
        <w:t>t</w:t>
      </w:r>
      <w:r w:rsidR="5493B998" w:rsidRPr="47D51BD3">
        <w:rPr>
          <w:rFonts w:ascii="Arial" w:eastAsia="Arial" w:hAnsi="Arial" w:cs="Arial"/>
          <w:sz w:val="22"/>
          <w:szCs w:val="22"/>
        </w:rPr>
        <w:t>h</w:t>
      </w:r>
      <w:r w:rsidR="5A471B75" w:rsidRPr="47D51BD3">
        <w:rPr>
          <w:rFonts w:ascii="Arial" w:eastAsia="Arial" w:hAnsi="Arial" w:cs="Arial"/>
          <w:sz w:val="22"/>
          <w:szCs w:val="22"/>
        </w:rPr>
        <w:t>e</w:t>
      </w:r>
      <w:r w:rsidR="5493B998" w:rsidRPr="47D51BD3">
        <w:rPr>
          <w:rFonts w:ascii="Arial" w:eastAsia="Arial" w:hAnsi="Arial" w:cs="Arial"/>
          <w:sz w:val="22"/>
          <w:szCs w:val="22"/>
        </w:rPr>
        <w:t xml:space="preserve"> risk of politicisation of these assessments is high in such a framework.</w:t>
      </w:r>
    </w:p>
    <w:p w14:paraId="5A1C43CD" w14:textId="6A0D7639" w:rsidR="00651471" w:rsidRPr="009908E8" w:rsidRDefault="0603F9AF" w:rsidP="006C6C92">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 Explanatory Notes describe this reform as marking a deliberate shift “away from an assumption of offering permanent protection, and towards a more basic, and temporary protection.”</w:t>
      </w:r>
      <w:r w:rsidR="00651471" w:rsidRPr="47D51BD3">
        <w:rPr>
          <w:rStyle w:val="FootnoteReference"/>
          <w:rFonts w:ascii="Arial" w:eastAsia="Arial" w:hAnsi="Arial" w:cs="Arial"/>
          <w:sz w:val="22"/>
          <w:szCs w:val="22"/>
        </w:rPr>
        <w:footnoteReference w:id="96"/>
      </w:r>
      <w:r w:rsidRPr="47D51BD3">
        <w:rPr>
          <w:rFonts w:ascii="Arial" w:eastAsia="Arial" w:hAnsi="Arial" w:cs="Arial"/>
          <w:sz w:val="22"/>
          <w:szCs w:val="22"/>
        </w:rPr>
        <w:t xml:space="preserve"> A change of this kind, if it results in shorter grants of status subject to more frequent review, is likely to create a much higher volume of further applications, extensions, and appeals than what we currently have, placing even additional pressure on </w:t>
      </w:r>
      <w:r w:rsidR="5D85A23E" w:rsidRPr="47D51BD3">
        <w:rPr>
          <w:rFonts w:ascii="Arial" w:eastAsia="Arial" w:hAnsi="Arial" w:cs="Arial"/>
          <w:sz w:val="22"/>
          <w:szCs w:val="22"/>
        </w:rPr>
        <w:t>the</w:t>
      </w:r>
      <w:r w:rsidRPr="47D51BD3">
        <w:rPr>
          <w:rFonts w:ascii="Arial" w:eastAsia="Arial" w:hAnsi="Arial" w:cs="Arial"/>
          <w:sz w:val="22"/>
          <w:szCs w:val="22"/>
        </w:rPr>
        <w:t xml:space="preserve"> legal aid and appeals system, and further creating delays in the system.</w:t>
      </w:r>
    </w:p>
    <w:p w14:paraId="096201BE" w14:textId="03F323A3"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22: Interpretation of Refugee Convention: “lawfully staying”</w:t>
      </w:r>
    </w:p>
    <w:p w14:paraId="0FE98994" w14:textId="10967501" w:rsidR="00651471" w:rsidRPr="009908E8" w:rsidRDefault="0603F9AF" w:rsidP="00310959">
      <w:pPr>
        <w:pStyle w:val="ListParagraph"/>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Clause 22 inserts a new s.37A into the Nationality and Borders Act 2022, providing that a person is </w:t>
      </w:r>
      <w:r w:rsidRPr="47D51BD3">
        <w:rPr>
          <w:rFonts w:ascii="Arial" w:eastAsia="Arial" w:hAnsi="Arial" w:cs="Arial"/>
          <w:b/>
          <w:sz w:val="22"/>
          <w:szCs w:val="22"/>
        </w:rPr>
        <w:t>not</w:t>
      </w:r>
      <w:r w:rsidRPr="47D51BD3">
        <w:rPr>
          <w:rFonts w:ascii="Arial" w:eastAsia="Arial" w:hAnsi="Arial" w:cs="Arial"/>
          <w:sz w:val="22"/>
          <w:szCs w:val="22"/>
        </w:rPr>
        <w:t xml:space="preserve"> to be treated as “lawfully staying” in the UK for the purposes of the Refugee Convention if there are reasonable grounds to regard them as a danger to UK security, or if they have been convicted of a particularly serious crime and are a danger to the community.</w:t>
      </w:r>
      <w:r w:rsidR="00651471" w:rsidRPr="47D51BD3">
        <w:rPr>
          <w:rStyle w:val="FootnoteReference"/>
          <w:rFonts w:ascii="Arial" w:eastAsia="Arial" w:hAnsi="Arial" w:cs="Arial"/>
          <w:sz w:val="22"/>
          <w:szCs w:val="22"/>
        </w:rPr>
        <w:footnoteReference w:id="97"/>
      </w:r>
      <w:r w:rsidRPr="47D51BD3">
        <w:rPr>
          <w:rFonts w:ascii="Arial" w:eastAsia="Arial" w:hAnsi="Arial" w:cs="Arial"/>
          <w:sz w:val="22"/>
          <w:szCs w:val="22"/>
        </w:rPr>
        <w:t xml:space="preserve"> This mirrors the language of the exception in Article 33(2) of the Refugee Convention, which is the narrow carve-out to the prohibition on </w:t>
      </w:r>
      <w:r w:rsidRPr="47D51BD3">
        <w:rPr>
          <w:rFonts w:ascii="Arial" w:eastAsia="Arial" w:hAnsi="Arial" w:cs="Arial"/>
          <w:i/>
          <w:sz w:val="22"/>
          <w:szCs w:val="22"/>
        </w:rPr>
        <w:t>refoulement</w:t>
      </w:r>
      <w:r w:rsidRPr="47D51BD3">
        <w:rPr>
          <w:rFonts w:ascii="Arial" w:eastAsia="Arial" w:hAnsi="Arial" w:cs="Arial"/>
          <w:sz w:val="22"/>
          <w:szCs w:val="22"/>
        </w:rPr>
        <w:t xml:space="preserve"> for individuals found to pose a genuine danger.</w:t>
      </w:r>
      <w:r w:rsidR="00651471" w:rsidRPr="47D51BD3">
        <w:rPr>
          <w:rStyle w:val="FootnoteReference"/>
          <w:rFonts w:ascii="Arial" w:eastAsia="Arial" w:hAnsi="Arial" w:cs="Arial"/>
          <w:sz w:val="22"/>
          <w:szCs w:val="22"/>
        </w:rPr>
        <w:footnoteReference w:id="98"/>
      </w:r>
    </w:p>
    <w:p w14:paraId="0D4FA50C" w14:textId="446A581A"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However, Article 33(2) is a narrow exception to one specific right, </w:t>
      </w:r>
      <w:r w:rsidRPr="47D51BD3">
        <w:rPr>
          <w:rFonts w:ascii="Arial" w:eastAsia="Arial" w:hAnsi="Arial" w:cs="Arial"/>
          <w:b/>
          <w:sz w:val="22"/>
          <w:szCs w:val="22"/>
        </w:rPr>
        <w:t>non-refoulement</w:t>
      </w:r>
      <w:r w:rsidRPr="47D51BD3">
        <w:rPr>
          <w:rFonts w:ascii="Arial" w:eastAsia="Arial" w:hAnsi="Arial" w:cs="Arial"/>
          <w:sz w:val="22"/>
          <w:szCs w:val="22"/>
        </w:rPr>
        <w:t>, the prohibition on returning a person seeking asylum to a place where they could face harm and persecution.</w:t>
      </w:r>
      <w:r w:rsidR="00651471" w:rsidRPr="47D51BD3">
        <w:rPr>
          <w:rStyle w:val="FootnoteReference"/>
          <w:rFonts w:ascii="Arial" w:eastAsia="Arial" w:hAnsi="Arial" w:cs="Arial"/>
          <w:sz w:val="22"/>
          <w:szCs w:val="22"/>
        </w:rPr>
        <w:footnoteReference w:id="99"/>
      </w:r>
      <w:r w:rsidRPr="47D51BD3">
        <w:rPr>
          <w:rFonts w:ascii="Arial" w:eastAsia="Arial" w:hAnsi="Arial" w:cs="Arial"/>
          <w:sz w:val="22"/>
          <w:szCs w:val="22"/>
        </w:rPr>
        <w:t xml:space="preserve"> “Lawfully staying” is a very different and broader legal status under the Refugee Convention, attaching a substantial </w:t>
      </w:r>
      <w:r w:rsidR="541AC47B" w:rsidRPr="47D51BD3">
        <w:rPr>
          <w:rFonts w:ascii="Arial" w:eastAsia="Arial" w:hAnsi="Arial" w:cs="Arial"/>
          <w:sz w:val="22"/>
          <w:szCs w:val="22"/>
        </w:rPr>
        <w:t>range</w:t>
      </w:r>
      <w:r w:rsidRPr="47D51BD3">
        <w:rPr>
          <w:rFonts w:ascii="Arial" w:eastAsia="Arial" w:hAnsi="Arial" w:cs="Arial"/>
          <w:sz w:val="22"/>
          <w:szCs w:val="22"/>
        </w:rPr>
        <w:t xml:space="preserve"> of rights beyond protection from return, including the right to engage in wage-earning employment (Articles 17), housing (Article 21), access to public relief and welfare (Article 23), labour law and social security protections (Article 24), and the issuance of travel documents (Article 28).</w:t>
      </w:r>
      <w:r w:rsidR="00651471" w:rsidRPr="47D51BD3">
        <w:rPr>
          <w:rStyle w:val="FootnoteReference"/>
          <w:rFonts w:ascii="Arial" w:eastAsia="Arial" w:hAnsi="Arial" w:cs="Arial"/>
          <w:sz w:val="22"/>
          <w:szCs w:val="22"/>
        </w:rPr>
        <w:footnoteReference w:id="100"/>
      </w:r>
      <w:r w:rsidRPr="47D51BD3">
        <w:rPr>
          <w:rFonts w:ascii="Arial" w:eastAsia="Arial" w:hAnsi="Arial" w:cs="Arial"/>
          <w:sz w:val="22"/>
          <w:szCs w:val="22"/>
        </w:rPr>
        <w:t xml:space="preserve"> These rights are </w:t>
      </w:r>
      <w:r w:rsidR="63CBB58A" w:rsidRPr="47D51BD3">
        <w:rPr>
          <w:rFonts w:ascii="Arial" w:eastAsia="Arial" w:hAnsi="Arial" w:cs="Arial"/>
          <w:sz w:val="22"/>
          <w:szCs w:val="22"/>
        </w:rPr>
        <w:t>different</w:t>
      </w:r>
      <w:r w:rsidRPr="47D51BD3">
        <w:rPr>
          <w:rFonts w:ascii="Arial" w:eastAsia="Arial" w:hAnsi="Arial" w:cs="Arial"/>
          <w:sz w:val="22"/>
          <w:szCs w:val="22"/>
        </w:rPr>
        <w:t xml:space="preserve"> from, and more generous than, the more basic protections that apply to a refugee regardless of the lawfulness of their presence.</w:t>
      </w:r>
      <w:r w:rsidR="00651471" w:rsidRPr="47D51BD3">
        <w:rPr>
          <w:rStyle w:val="FootnoteReference"/>
          <w:rFonts w:ascii="Arial" w:eastAsia="Arial" w:hAnsi="Arial" w:cs="Arial"/>
          <w:sz w:val="22"/>
          <w:szCs w:val="22"/>
        </w:rPr>
        <w:footnoteReference w:id="101"/>
      </w:r>
    </w:p>
    <w:p w14:paraId="437B6C44" w14:textId="61CDC088"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By defining “lawfully staying” itself, rather than applying the Article 33(2) exception only to the specific question of removal, Clause 22 risks </w:t>
      </w:r>
      <w:r w:rsidR="26FC9659" w:rsidRPr="47D51BD3">
        <w:rPr>
          <w:rFonts w:ascii="Arial" w:eastAsia="Arial" w:hAnsi="Arial" w:cs="Arial"/>
          <w:sz w:val="22"/>
          <w:szCs w:val="22"/>
        </w:rPr>
        <w:t>removing</w:t>
      </w:r>
      <w:r w:rsidRPr="47D51BD3">
        <w:rPr>
          <w:rFonts w:ascii="Arial" w:eastAsia="Arial" w:hAnsi="Arial" w:cs="Arial"/>
          <w:sz w:val="22"/>
          <w:szCs w:val="22"/>
        </w:rPr>
        <w:t xml:space="preserve"> this wider </w:t>
      </w:r>
      <w:r w:rsidR="11819B53" w:rsidRPr="47D51BD3">
        <w:rPr>
          <w:rFonts w:ascii="Arial" w:eastAsia="Arial" w:hAnsi="Arial" w:cs="Arial"/>
          <w:sz w:val="22"/>
          <w:szCs w:val="22"/>
        </w:rPr>
        <w:t>range</w:t>
      </w:r>
      <w:r w:rsidRPr="47D51BD3">
        <w:rPr>
          <w:rFonts w:ascii="Arial" w:eastAsia="Arial" w:hAnsi="Arial" w:cs="Arial"/>
          <w:sz w:val="22"/>
          <w:szCs w:val="22"/>
        </w:rPr>
        <w:t xml:space="preserve"> of rights from a person caught by the exception, going beyond what Article 33(2) was designed to address. Article 33(2) allows a state to remove a genuinely dangerous refugee in narrow circumstances, but it does not, on its face, contemplate stripping that same person of employment or welfare rights while they otherwise remain lawfully in the country. Using a narrow removal-specific exception to redefine a broader status term is a more significant intervention than the Convention's own exception </w:t>
      </w:r>
      <w:r w:rsidR="0C1BBAB2" w:rsidRPr="47D51BD3">
        <w:rPr>
          <w:rFonts w:ascii="Arial" w:eastAsia="Arial" w:hAnsi="Arial" w:cs="Arial"/>
          <w:sz w:val="22"/>
          <w:szCs w:val="22"/>
        </w:rPr>
        <w:t>seems</w:t>
      </w:r>
      <w:r w:rsidRPr="47D51BD3">
        <w:rPr>
          <w:rFonts w:ascii="Arial" w:eastAsia="Arial" w:hAnsi="Arial" w:cs="Arial"/>
          <w:sz w:val="22"/>
          <w:szCs w:val="22"/>
        </w:rPr>
        <w:t xml:space="preserve"> to authorise.</w:t>
      </w:r>
    </w:p>
    <w:p w14:paraId="70F53B4D" w14:textId="7DBE5EC5"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This clause would change how a term of an international treaty is to be interpreted domestically. Where a domestic reinterpretation narrows a Convention term beyond what the treaty's own drafting history supports, it raises a question about whether the interpretation in UK law remains faithful to the UK's obligations under international law. </w:t>
      </w:r>
    </w:p>
    <w:p w14:paraId="0AF0E792" w14:textId="41D5F6CC" w:rsidR="00651471" w:rsidRPr="009908E8" w:rsidRDefault="0603F9AF"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Human Rights Memorandum</w:t>
      </w:r>
    </w:p>
    <w:p w14:paraId="56F08369" w14:textId="50281F66"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The Government's </w:t>
      </w:r>
      <w:r w:rsidR="66874FDC" w:rsidRPr="47D51BD3">
        <w:rPr>
          <w:rFonts w:ascii="Arial" w:eastAsia="Arial" w:hAnsi="Arial" w:cs="Arial"/>
          <w:sz w:val="22"/>
          <w:szCs w:val="22"/>
        </w:rPr>
        <w:t>human rights impact assessment</w:t>
      </w:r>
      <w:r w:rsidRPr="47D51BD3">
        <w:rPr>
          <w:rFonts w:ascii="Arial" w:eastAsia="Arial" w:hAnsi="Arial" w:cs="Arial"/>
          <w:sz w:val="22"/>
          <w:szCs w:val="22"/>
        </w:rPr>
        <w:t xml:space="preserve"> for this Bill states, at paragraph 4, that "clauses of, and Schedules to, this Bill which are not mentioned in this memorandum do not give rise to any substantial human rights issues."</w:t>
      </w:r>
      <w:r w:rsidR="00651471" w:rsidRPr="47D51BD3">
        <w:rPr>
          <w:rStyle w:val="FootnoteReference"/>
          <w:rFonts w:ascii="Arial" w:eastAsia="Arial" w:hAnsi="Arial" w:cs="Arial"/>
          <w:sz w:val="22"/>
          <w:szCs w:val="22"/>
        </w:rPr>
        <w:footnoteReference w:id="102"/>
      </w:r>
      <w:r w:rsidRPr="47D51BD3">
        <w:rPr>
          <w:rFonts w:ascii="Arial" w:eastAsia="Arial" w:hAnsi="Arial" w:cs="Arial"/>
          <w:sz w:val="22"/>
          <w:szCs w:val="22"/>
        </w:rPr>
        <w:t xml:space="preserve"> Therefore, the Government's considers that neither Clause 21 nor Clause 22 raises any substantial human rights issue requiring analysis.</w:t>
      </w:r>
    </w:p>
    <w:p w14:paraId="63EE35E6" w14:textId="7E7C414B"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We disagree with this position. Clause 22 would </w:t>
      </w:r>
      <w:r w:rsidR="1C53823A" w:rsidRPr="47D51BD3">
        <w:rPr>
          <w:rFonts w:ascii="Arial" w:eastAsia="Arial" w:hAnsi="Arial" w:cs="Arial"/>
          <w:sz w:val="22"/>
          <w:szCs w:val="22"/>
        </w:rPr>
        <w:t>remove</w:t>
      </w:r>
      <w:r w:rsidRPr="47D51BD3">
        <w:rPr>
          <w:rFonts w:ascii="Arial" w:eastAsia="Arial" w:hAnsi="Arial" w:cs="Arial"/>
          <w:sz w:val="22"/>
          <w:szCs w:val="22"/>
        </w:rPr>
        <w:t xml:space="preserve"> a broad </w:t>
      </w:r>
      <w:r w:rsidR="25800F79" w:rsidRPr="47D51BD3">
        <w:rPr>
          <w:rFonts w:ascii="Arial" w:eastAsia="Arial" w:hAnsi="Arial" w:cs="Arial"/>
          <w:sz w:val="22"/>
          <w:szCs w:val="22"/>
        </w:rPr>
        <w:t>range</w:t>
      </w:r>
      <w:r w:rsidRPr="47D51BD3">
        <w:rPr>
          <w:rFonts w:ascii="Arial" w:eastAsia="Arial" w:hAnsi="Arial" w:cs="Arial"/>
          <w:sz w:val="22"/>
          <w:szCs w:val="22"/>
        </w:rPr>
        <w:t xml:space="preserve"> of Refugee Convention rights, employment, housing, welfare, social security and travel documents, engaging several ECHR articles.</w:t>
      </w:r>
      <w:r w:rsidR="00651471" w:rsidRPr="47D51BD3">
        <w:rPr>
          <w:rStyle w:val="FootnoteReference"/>
          <w:rFonts w:ascii="Arial" w:eastAsia="Arial" w:hAnsi="Arial" w:cs="Arial"/>
          <w:sz w:val="22"/>
          <w:szCs w:val="22"/>
        </w:rPr>
        <w:footnoteReference w:id="103"/>
      </w:r>
      <w:r w:rsidRPr="47D51BD3">
        <w:rPr>
          <w:rFonts w:ascii="Arial" w:eastAsia="Arial" w:hAnsi="Arial" w:cs="Arial"/>
          <w:sz w:val="22"/>
          <w:szCs w:val="22"/>
        </w:rPr>
        <w:t xml:space="preserve"> Clause 21's delegated power strengthens this concern, as it authorises a power to change the definition of who needs protection without including any of the detail.</w:t>
      </w:r>
    </w:p>
    <w:p w14:paraId="4496A1D4" w14:textId="09CC69C6"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Parliament and the Joint Committee on Human Rights have, as a result, no Government human rights assessment to scrutinise for this </w:t>
      </w:r>
      <w:r w:rsidR="5C9EF798" w:rsidRPr="47D51BD3">
        <w:rPr>
          <w:rFonts w:ascii="Arial" w:eastAsia="Arial" w:hAnsi="Arial" w:cs="Arial"/>
          <w:sz w:val="22"/>
          <w:szCs w:val="22"/>
        </w:rPr>
        <w:t>part, which</w:t>
      </w:r>
      <w:r w:rsidR="3CE1920E" w:rsidRPr="47D51BD3">
        <w:rPr>
          <w:rFonts w:ascii="Arial" w:eastAsia="Arial" w:hAnsi="Arial" w:cs="Arial"/>
          <w:sz w:val="22"/>
          <w:szCs w:val="22"/>
        </w:rPr>
        <w:t xml:space="preserve"> makes</w:t>
      </w:r>
      <w:r w:rsidRPr="47D51BD3">
        <w:rPr>
          <w:rFonts w:ascii="Arial" w:eastAsia="Arial" w:hAnsi="Arial" w:cs="Arial"/>
          <w:sz w:val="22"/>
          <w:szCs w:val="22"/>
        </w:rPr>
        <w:t xml:space="preserve"> the most significant structural change to protection status and Convention rights of any Part in the Bill.</w:t>
      </w:r>
    </w:p>
    <w:p w14:paraId="47F6BC3C" w14:textId="788647B4" w:rsidR="00651471" w:rsidRPr="009908E8" w:rsidRDefault="00651471" w:rsidP="00F33CDC">
      <w:pPr>
        <w:spacing w:line="276" w:lineRule="auto"/>
        <w:rPr>
          <w:rFonts w:ascii="Arial" w:eastAsia="Arial" w:hAnsi="Arial" w:cs="Arial"/>
          <w:color w:val="404A68"/>
          <w:sz w:val="22"/>
          <w:szCs w:val="22"/>
        </w:rPr>
      </w:pPr>
    </w:p>
    <w:p w14:paraId="0D4CA1A4" w14:textId="34F94F56" w:rsidR="00651471" w:rsidRPr="009908E8" w:rsidRDefault="0603F9AF" w:rsidP="1B9E9B8D">
      <w:pPr>
        <w:pStyle w:val="NoSpacing"/>
        <w:spacing w:line="276" w:lineRule="auto"/>
        <w:rPr>
          <w:b/>
          <w:color w:val="404A68"/>
        </w:rPr>
      </w:pPr>
      <w:r w:rsidRPr="47D51BD3">
        <w:rPr>
          <w:b/>
          <w:color w:val="404A68"/>
        </w:rPr>
        <w:t>Part 4 Asylum Support</w:t>
      </w:r>
    </w:p>
    <w:p w14:paraId="4FE1D164" w14:textId="5764EAAE" w:rsidR="00651471" w:rsidRPr="009908E8" w:rsidRDefault="00651471" w:rsidP="1B9E9B8D">
      <w:pPr>
        <w:pStyle w:val="NoSpacing"/>
        <w:spacing w:line="276" w:lineRule="auto"/>
        <w:rPr>
          <w:color w:val="404A68"/>
        </w:rPr>
      </w:pPr>
    </w:p>
    <w:p w14:paraId="7CD309C8" w14:textId="36A7F529" w:rsidR="001864DF" w:rsidRPr="009908E8" w:rsidRDefault="001864DF" w:rsidP="1B9E9B8D">
      <w:pPr>
        <w:pStyle w:val="NoSpacing"/>
        <w:spacing w:line="276" w:lineRule="auto"/>
        <w:rPr>
          <w:b/>
          <w:color w:val="404A68"/>
        </w:rPr>
      </w:pPr>
    </w:p>
    <w:p w14:paraId="252AC7BD" w14:textId="4197CB46" w:rsidR="00651471" w:rsidRPr="009908E8" w:rsidRDefault="0603F9AF" w:rsidP="1B9E9B8D">
      <w:pPr>
        <w:pStyle w:val="NoSpacing"/>
        <w:spacing w:line="276" w:lineRule="auto"/>
        <w:rPr>
          <w:b/>
          <w:color w:val="404A68"/>
        </w:rPr>
      </w:pPr>
      <w:r w:rsidRPr="47D51BD3">
        <w:rPr>
          <w:b/>
          <w:color w:val="404A68"/>
        </w:rPr>
        <w:t xml:space="preserve">What Part 4 does </w:t>
      </w:r>
    </w:p>
    <w:p w14:paraId="70BE31FB" w14:textId="047D9A14" w:rsidR="004D72EA" w:rsidRPr="009908E8" w:rsidRDefault="004D72EA" w:rsidP="1B9E9B8D">
      <w:pPr>
        <w:pStyle w:val="NoSpacing"/>
        <w:spacing w:line="276" w:lineRule="auto"/>
        <w:rPr>
          <w:b/>
          <w:color w:val="404A68"/>
        </w:rPr>
      </w:pPr>
    </w:p>
    <w:p w14:paraId="753D7267" w14:textId="5490EA45" w:rsidR="00651471" w:rsidRPr="009908E8" w:rsidRDefault="0603F9AF" w:rsidP="00472FA0">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Part 4 creates power for the Secretary of State to require people who have received asylum support - accommodation focused - to repay its cost once they are able to do </w:t>
      </w:r>
      <w:proofErr w:type="gramStart"/>
      <w:r w:rsidRPr="47D51BD3">
        <w:rPr>
          <w:rFonts w:ascii="Arial" w:eastAsia="Arial" w:hAnsi="Arial" w:cs="Arial"/>
          <w:sz w:val="22"/>
          <w:szCs w:val="22"/>
        </w:rPr>
        <w:t>so, and</w:t>
      </w:r>
      <w:proofErr w:type="gramEnd"/>
      <w:r w:rsidRPr="47D51BD3">
        <w:rPr>
          <w:rFonts w:ascii="Arial" w:eastAsia="Arial" w:hAnsi="Arial" w:cs="Arial"/>
          <w:sz w:val="22"/>
          <w:szCs w:val="22"/>
        </w:rPr>
        <w:t xml:space="preserve"> sets out how those repayments are calculated and collected, including via HMRC</w:t>
      </w:r>
      <w:r w:rsidR="00651471" w:rsidRPr="47D51BD3">
        <w:rPr>
          <w:rStyle w:val="FootnoteReference"/>
          <w:rFonts w:ascii="Arial" w:eastAsia="Arial" w:hAnsi="Arial" w:cs="Arial"/>
          <w:sz w:val="22"/>
          <w:szCs w:val="22"/>
        </w:rPr>
        <w:footnoteReference w:id="104"/>
      </w:r>
      <w:r w:rsidR="13E2FD0B" w:rsidRPr="47D51BD3">
        <w:rPr>
          <w:rFonts w:ascii="Arial" w:eastAsia="Arial" w:hAnsi="Arial" w:cs="Arial"/>
          <w:sz w:val="22"/>
          <w:szCs w:val="22"/>
        </w:rPr>
        <w:t>.</w:t>
      </w:r>
      <w:r w:rsidRPr="47D51BD3">
        <w:rPr>
          <w:rFonts w:ascii="Arial" w:eastAsia="Arial" w:hAnsi="Arial" w:cs="Arial"/>
          <w:sz w:val="22"/>
          <w:szCs w:val="22"/>
        </w:rPr>
        <w:t xml:space="preserve"> We reject it in its entirety. </w:t>
      </w:r>
    </w:p>
    <w:p w14:paraId="515AC3F7" w14:textId="2F84917D" w:rsidR="00651471" w:rsidRPr="009908E8" w:rsidRDefault="00651471" w:rsidP="1B9E9B8D">
      <w:pPr>
        <w:pStyle w:val="NoSpacing"/>
        <w:spacing w:line="276" w:lineRule="auto"/>
      </w:pPr>
    </w:p>
    <w:p w14:paraId="221CBFF6" w14:textId="25AD467D" w:rsidR="00651471" w:rsidRPr="009908E8" w:rsidRDefault="0603F9AF" w:rsidP="1B9E9B8D">
      <w:pPr>
        <w:pStyle w:val="NoSpacing"/>
        <w:spacing w:line="276" w:lineRule="auto"/>
        <w:rPr>
          <w:b/>
          <w:color w:val="404A68"/>
        </w:rPr>
      </w:pPr>
      <w:r w:rsidRPr="47D51BD3">
        <w:rPr>
          <w:b/>
          <w:color w:val="404A68"/>
        </w:rPr>
        <w:t>Clause</w:t>
      </w:r>
      <w:r w:rsidRPr="47D51BD3">
        <w:rPr>
          <w:b/>
          <w:color w:val="404A68"/>
          <w:lang w:val="en-GB"/>
        </w:rPr>
        <w:t xml:space="preserve"> 23: Power to require payments from recipients of asylum support</w:t>
      </w:r>
    </w:p>
    <w:p w14:paraId="43FD030E" w14:textId="6254A7E4" w:rsidR="00651471" w:rsidRPr="009908E8" w:rsidRDefault="00651471" w:rsidP="1B9E9B8D">
      <w:pPr>
        <w:pStyle w:val="NoSpacing"/>
        <w:spacing w:line="276" w:lineRule="auto"/>
        <w:rPr>
          <w:lang w:val="en-GB"/>
        </w:rPr>
      </w:pPr>
    </w:p>
    <w:p w14:paraId="0F747147" w14:textId="0287EF0C" w:rsidR="00651471" w:rsidRPr="009908E8" w:rsidRDefault="0603F9AF"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lang w:val="en-US"/>
        </w:rPr>
        <w:t xml:space="preserve">The </w:t>
      </w:r>
      <w:r w:rsidRPr="47D51BD3">
        <w:rPr>
          <w:rFonts w:ascii="Arial" w:eastAsia="Arial" w:hAnsi="Arial" w:cs="Arial"/>
          <w:sz w:val="22"/>
          <w:szCs w:val="22"/>
        </w:rPr>
        <w:t>power to require payments of asylum support applies to anyone who has</w:t>
      </w:r>
      <w:r w:rsidR="20E45D9A" w:rsidRPr="47D51BD3">
        <w:rPr>
          <w:rFonts w:ascii="Arial" w:eastAsia="Arial" w:hAnsi="Arial" w:cs="Arial"/>
          <w:sz w:val="22"/>
          <w:szCs w:val="22"/>
        </w:rPr>
        <w:t xml:space="preserve"> </w:t>
      </w:r>
      <w:r w:rsidRPr="47D51BD3">
        <w:rPr>
          <w:rFonts w:ascii="Arial" w:eastAsia="Arial" w:hAnsi="Arial" w:cs="Arial"/>
          <w:sz w:val="22"/>
          <w:szCs w:val="22"/>
        </w:rPr>
        <w:t xml:space="preserve">received asylum support - whether their claim was granted or refused </w:t>
      </w:r>
      <w:r w:rsidR="0CFE5E3F" w:rsidRPr="47D51BD3">
        <w:rPr>
          <w:rFonts w:ascii="Arial" w:eastAsia="Arial" w:hAnsi="Arial" w:cs="Arial"/>
          <w:sz w:val="22"/>
          <w:szCs w:val="22"/>
        </w:rPr>
        <w:t xml:space="preserve">– </w:t>
      </w:r>
      <w:r w:rsidRPr="47D51BD3">
        <w:rPr>
          <w:rFonts w:ascii="Arial" w:eastAsia="Arial" w:hAnsi="Arial" w:cs="Arial"/>
          <w:sz w:val="22"/>
          <w:szCs w:val="22"/>
        </w:rPr>
        <w:t xml:space="preserve">under s.23(1)-(2), including accommodation under s.4 or s.95/95A of the Immigration and Asylum Act 1999, or s.17 accommodation under the Nationality, Immigration and Asylum Act 2002 </w:t>
      </w:r>
      <w:r w:rsidR="1452D64B" w:rsidRPr="47D51BD3">
        <w:rPr>
          <w:rFonts w:ascii="Arial" w:eastAsia="Arial" w:hAnsi="Arial" w:cs="Arial"/>
          <w:sz w:val="22"/>
          <w:szCs w:val="22"/>
        </w:rPr>
        <w:t xml:space="preserve">– </w:t>
      </w:r>
      <w:r w:rsidRPr="47D51BD3">
        <w:rPr>
          <w:rFonts w:ascii="Arial" w:eastAsia="Arial" w:hAnsi="Arial" w:cs="Arial"/>
          <w:sz w:val="22"/>
          <w:szCs w:val="22"/>
        </w:rPr>
        <w:t>and who is not exempt</w:t>
      </w:r>
      <w:r w:rsidRPr="47D51BD3">
        <w:rPr>
          <w:rFonts w:ascii="Arial" w:eastAsia="Arial" w:hAnsi="Arial" w:cs="Arial"/>
          <w:sz w:val="22"/>
          <w:szCs w:val="22"/>
          <w:lang w:val="en-US"/>
        </w:rPr>
        <w:t>.</w:t>
      </w:r>
    </w:p>
    <w:p w14:paraId="507E11F2" w14:textId="15D846EE" w:rsidR="00651471" w:rsidRPr="009908E8" w:rsidRDefault="0603F9AF" w:rsidP="00905653">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s.23(3)-(4) would grant the Secretary of State the power to require payments, with the actual calculation method, circumstances, deadlines, and collection process all left to regulations.</w:t>
      </w:r>
    </w:p>
    <w:p w14:paraId="0F8361FC" w14:textId="6E59A8CD" w:rsidR="00F079BE" w:rsidRPr="009908E8" w:rsidRDefault="0603F9AF" w:rsidP="00905653">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s.23(5): regulations must ensure no one is required to pay if doing so would make them destitute. Destitution, for the purposes of s.23(5), takes the meaning given by section 95 of the Immigration and Asylum Act 1999: a person is destitute if they do not have adequate accommodation, or any means of obtaining it, or if they have adequate accommodation but cannot meet their other essential living needs.</w:t>
      </w:r>
      <w:r w:rsidR="00651471" w:rsidRPr="47D51BD3">
        <w:rPr>
          <w:rStyle w:val="FootnoteReference"/>
          <w:rFonts w:ascii="Arial" w:eastAsia="Arial" w:hAnsi="Arial" w:cs="Arial"/>
          <w:sz w:val="22"/>
          <w:szCs w:val="22"/>
        </w:rPr>
        <w:footnoteReference w:id="105"/>
      </w:r>
    </w:p>
    <w:p w14:paraId="45B5E180" w14:textId="4EB16F2B" w:rsidR="00651471" w:rsidRPr="009908E8" w:rsidRDefault="0603F9AF"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is an incredibly low threshold. It is the same test currently used to determine eligibility for asylum support itself. Someone in self-catered accommodation currently receives £49.18 a week to cover all essential living needs, food, clothing, toiletries, transport, and communication combined</w:t>
      </w:r>
      <w:r w:rsidRPr="47D51BD3">
        <w:rPr>
          <w:rFonts w:ascii="Arial" w:eastAsia="Arial" w:hAnsi="Arial" w:cs="Arial"/>
          <w:sz w:val="22"/>
          <w:szCs w:val="22"/>
          <w:lang w:val="en-US"/>
        </w:rPr>
        <w:t>.</w:t>
      </w:r>
      <w:r w:rsidR="00337922" w:rsidRPr="47D51BD3">
        <w:rPr>
          <w:rStyle w:val="FootnoteReference"/>
          <w:rFonts w:ascii="Arial" w:eastAsia="Arial" w:hAnsi="Arial" w:cs="Arial"/>
          <w:sz w:val="22"/>
          <w:szCs w:val="22"/>
          <w:lang w:val="en-US"/>
        </w:rPr>
        <w:footnoteReference w:id="106"/>
      </w:r>
      <w:r w:rsidRPr="47D51BD3">
        <w:rPr>
          <w:rFonts w:ascii="Arial" w:eastAsia="Arial" w:hAnsi="Arial" w:cs="Arial"/>
          <w:sz w:val="22"/>
          <w:szCs w:val="22"/>
          <w:lang w:val="en-US"/>
        </w:rPr>
        <w:t xml:space="preserve"> </w:t>
      </w:r>
      <w:r w:rsidRPr="47D51BD3">
        <w:rPr>
          <w:rFonts w:ascii="Arial" w:eastAsia="Arial" w:hAnsi="Arial" w:cs="Arial"/>
          <w:sz w:val="22"/>
          <w:szCs w:val="22"/>
        </w:rPr>
        <w:t>Someone in full-board accommodation, where meals are provided, receives as little as £9.95 a week to cover everything else</w:t>
      </w:r>
      <w:r w:rsidRPr="47D51BD3">
        <w:rPr>
          <w:rFonts w:ascii="Arial" w:eastAsia="Arial" w:hAnsi="Arial" w:cs="Arial"/>
          <w:sz w:val="22"/>
          <w:szCs w:val="22"/>
          <w:lang w:val="en-US"/>
        </w:rPr>
        <w:t>.</w:t>
      </w:r>
      <w:r w:rsidR="00337922" w:rsidRPr="47D51BD3">
        <w:rPr>
          <w:rStyle w:val="FootnoteReference"/>
          <w:rFonts w:ascii="Arial" w:eastAsia="Arial" w:hAnsi="Arial" w:cs="Arial"/>
          <w:sz w:val="22"/>
          <w:szCs w:val="22"/>
          <w:lang w:val="en-US"/>
        </w:rPr>
        <w:footnoteReference w:id="107"/>
      </w:r>
      <w:r w:rsidRPr="47D51BD3">
        <w:rPr>
          <w:rFonts w:ascii="Arial" w:eastAsia="Arial" w:hAnsi="Arial" w:cs="Arial"/>
          <w:sz w:val="22"/>
          <w:szCs w:val="22"/>
          <w:lang w:val="en-US"/>
        </w:rPr>
        <w:t xml:space="preserve"> </w:t>
      </w:r>
      <w:r w:rsidRPr="47D51BD3">
        <w:rPr>
          <w:rFonts w:ascii="Arial" w:eastAsia="Arial" w:hAnsi="Arial" w:cs="Arial"/>
          <w:sz w:val="22"/>
          <w:szCs w:val="22"/>
        </w:rPr>
        <w:t>Asylum Matters and others have found this leaves people well below the poverty line, and the British Red Cross has identified financial hardship of this kind as a recognised risk factor for exploitation</w:t>
      </w:r>
      <w:r w:rsidRPr="47D51BD3">
        <w:rPr>
          <w:rFonts w:ascii="Arial" w:eastAsia="Arial" w:hAnsi="Arial" w:cs="Arial"/>
          <w:sz w:val="22"/>
          <w:szCs w:val="22"/>
          <w:lang w:val="en-US"/>
        </w:rPr>
        <w:t>.</w:t>
      </w:r>
      <w:r w:rsidR="00651471" w:rsidRPr="47D51BD3">
        <w:rPr>
          <w:rStyle w:val="FootnoteReference"/>
          <w:rFonts w:ascii="Arial" w:eastAsia="Arial" w:hAnsi="Arial" w:cs="Arial"/>
          <w:sz w:val="22"/>
          <w:szCs w:val="22"/>
          <w:lang w:val="en-US"/>
        </w:rPr>
        <w:footnoteReference w:id="108"/>
      </w:r>
      <w:r w:rsidRPr="47D51BD3">
        <w:rPr>
          <w:rFonts w:ascii="Arial" w:eastAsia="Arial" w:hAnsi="Arial" w:cs="Arial"/>
          <w:sz w:val="22"/>
          <w:szCs w:val="22"/>
          <w:lang w:val="en-US"/>
        </w:rPr>
        <w:t xml:space="preserve"> </w:t>
      </w:r>
      <w:r w:rsidRPr="47D51BD3">
        <w:rPr>
          <w:rFonts w:ascii="Arial" w:eastAsia="Arial" w:hAnsi="Arial" w:cs="Arial"/>
          <w:sz w:val="22"/>
          <w:szCs w:val="22"/>
        </w:rPr>
        <w:t xml:space="preserve">Using non-destitution as the only safeguard against a repayment demand under this Bill means there is no </w:t>
      </w:r>
      <w:r w:rsidR="65B725D6" w:rsidRPr="47D51BD3">
        <w:rPr>
          <w:rFonts w:ascii="Arial" w:eastAsia="Arial" w:hAnsi="Arial" w:cs="Arial"/>
          <w:sz w:val="22"/>
          <w:szCs w:val="22"/>
        </w:rPr>
        <w:t xml:space="preserve">real </w:t>
      </w:r>
      <w:r w:rsidRPr="47D51BD3">
        <w:rPr>
          <w:rFonts w:ascii="Arial" w:eastAsia="Arial" w:hAnsi="Arial" w:cs="Arial"/>
          <w:sz w:val="22"/>
          <w:szCs w:val="22"/>
        </w:rPr>
        <w:t>protection against hardship or financial difficulty that does not meet this very low threshold.</w:t>
      </w:r>
    </w:p>
    <w:p w14:paraId="16F1A223" w14:textId="68BE6C1F" w:rsidR="00651471" w:rsidRPr="009908E8" w:rsidRDefault="0603F9AF" w:rsidP="00F857B4">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Throughout the period this support covers, recipients are banned from working, with very limited exceptions.</w:t>
      </w:r>
      <w:r w:rsidR="00651471" w:rsidRPr="47D51BD3">
        <w:rPr>
          <w:rStyle w:val="FootnoteReference"/>
          <w:rFonts w:ascii="Arial" w:eastAsia="Arial" w:hAnsi="Arial" w:cs="Arial"/>
          <w:sz w:val="22"/>
          <w:szCs w:val="22"/>
        </w:rPr>
        <w:footnoteReference w:id="109"/>
      </w:r>
      <w:r w:rsidRPr="47D51BD3">
        <w:rPr>
          <w:rFonts w:ascii="Arial" w:eastAsia="Arial" w:hAnsi="Arial" w:cs="Arial"/>
          <w:sz w:val="22"/>
          <w:szCs w:val="22"/>
        </w:rPr>
        <w:t xml:space="preserve"> People seeking asylum can only apply for permission to work if their claim has been outstanding for more than 12 months through no fault of their own, and even then, only in roles on the Immigration Salary List, which is a restrictive shortage-occupation list.</w:t>
      </w:r>
      <w:r w:rsidR="00651471" w:rsidRPr="47D51BD3">
        <w:rPr>
          <w:rStyle w:val="FootnoteReference"/>
          <w:rFonts w:ascii="Arial" w:eastAsia="Arial" w:hAnsi="Arial" w:cs="Arial"/>
          <w:sz w:val="22"/>
          <w:szCs w:val="22"/>
        </w:rPr>
        <w:footnoteReference w:id="110"/>
      </w:r>
      <w:r w:rsidRPr="47D51BD3">
        <w:rPr>
          <w:rFonts w:ascii="Arial" w:eastAsia="Arial" w:hAnsi="Arial" w:cs="Arial"/>
          <w:sz w:val="22"/>
          <w:szCs w:val="22"/>
        </w:rPr>
        <w:t xml:space="preserve"> For almost everyone receiving support then, a significant part of the period covered by a future repayment demand is a period in which they had no lawful means to earn an income at all, and were living on £49.18 a week or less.</w:t>
      </w:r>
    </w:p>
    <w:p w14:paraId="321DAC0D" w14:textId="59CF8759" w:rsidR="00FA7FEC" w:rsidRPr="009908E8" w:rsidRDefault="0603F9AF" w:rsidP="00FA7FE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 Government has announced that the repayment will take the form of a flat-rate monthly charge, with a total expected of around £10,000, adjustable by the Home Secretary.</w:t>
      </w:r>
      <w:r w:rsidR="002D0C9C" w:rsidRPr="47D51BD3">
        <w:rPr>
          <w:rFonts w:ascii="Arial" w:eastAsia="Arial" w:hAnsi="Arial" w:cs="Arial"/>
          <w:sz w:val="22"/>
          <w:szCs w:val="22"/>
          <w:vertAlign w:val="superscript"/>
        </w:rPr>
        <w:footnoteReference w:id="111"/>
      </w:r>
      <w:r w:rsidRPr="47D51BD3">
        <w:rPr>
          <w:rFonts w:ascii="Arial" w:eastAsia="Arial" w:hAnsi="Arial" w:cs="Arial"/>
          <w:sz w:val="22"/>
          <w:szCs w:val="22"/>
          <w:vertAlign w:val="superscript"/>
        </w:rPr>
        <w:t xml:space="preserve"> </w:t>
      </w:r>
      <w:r w:rsidRPr="47D51BD3">
        <w:rPr>
          <w:rFonts w:ascii="Arial" w:eastAsia="Arial" w:hAnsi="Arial" w:cs="Arial"/>
          <w:sz w:val="22"/>
          <w:szCs w:val="22"/>
        </w:rPr>
        <w:t xml:space="preserve">Critically, the full amount must be repaid before someone becomes eligible for settlement, connecting this power directly to the extended path to settlement under Earned Settlement, as we highlighted in </w:t>
      </w:r>
      <w:r w:rsidR="4C7C9208" w:rsidRPr="47D51BD3">
        <w:rPr>
          <w:rFonts w:ascii="Arial" w:eastAsia="Arial" w:hAnsi="Arial" w:cs="Arial"/>
          <w:sz w:val="22"/>
          <w:szCs w:val="22"/>
        </w:rPr>
        <w:t>the executive summary</w:t>
      </w:r>
      <w:r w:rsidRPr="47D51BD3">
        <w:rPr>
          <w:rFonts w:ascii="Arial" w:eastAsia="Arial" w:hAnsi="Arial" w:cs="Arial"/>
          <w:sz w:val="22"/>
          <w:szCs w:val="22"/>
        </w:rPr>
        <w:t>.</w:t>
      </w:r>
    </w:p>
    <w:p w14:paraId="74A2AF8F" w14:textId="3A50163F" w:rsidR="00651471" w:rsidRPr="009908E8" w:rsidRDefault="0603F9AF" w:rsidP="00F857B4">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lang w:val="en-US"/>
        </w:rPr>
        <w:t xml:space="preserve">Under Earned </w:t>
      </w:r>
      <w:r w:rsidRPr="47D51BD3">
        <w:rPr>
          <w:rFonts w:ascii="Arial" w:eastAsia="Arial" w:hAnsi="Arial" w:cs="Arial"/>
          <w:sz w:val="22"/>
          <w:szCs w:val="22"/>
        </w:rPr>
        <w:t xml:space="preserve">Settlement's suitability requirement, an outstanding debt to government could be an absolute bar to settlement. Someone still repaying the Part 4 </w:t>
      </w:r>
      <w:r w:rsidR="2EF7D528" w:rsidRPr="2232B6E1">
        <w:rPr>
          <w:rFonts w:ascii="Arial" w:eastAsia="Arial" w:hAnsi="Arial" w:cs="Arial"/>
          <w:sz w:val="22"/>
          <w:szCs w:val="22"/>
        </w:rPr>
        <w:t>sum</w:t>
      </w:r>
      <w:r w:rsidRPr="47D51BD3">
        <w:rPr>
          <w:rFonts w:ascii="Arial" w:eastAsia="Arial" w:hAnsi="Arial" w:cs="Arial"/>
          <w:sz w:val="22"/>
          <w:szCs w:val="22"/>
        </w:rPr>
        <w:t xml:space="preserve"> may not be able to apply for settlement at all, regardless of how long they have been in the UK or how well integrated they are.</w:t>
      </w:r>
      <w:r w:rsidR="00651471" w:rsidRPr="47D51BD3">
        <w:rPr>
          <w:rFonts w:ascii="Arial" w:eastAsia="Arial" w:hAnsi="Arial" w:cs="Arial"/>
          <w:sz w:val="22"/>
          <w:szCs w:val="22"/>
          <w:vertAlign w:val="superscript"/>
        </w:rPr>
        <w:footnoteReference w:id="112"/>
      </w:r>
    </w:p>
    <w:p w14:paraId="4BA33455" w14:textId="421F25E7" w:rsidR="00651471" w:rsidRPr="009908E8" w:rsidRDefault="0603F9AF" w:rsidP="00F857B4">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Earned Settlement already lengthens the standard qualifying period for permanent status, with only a defined "contribution" route offering a faster path. Requiring the full asylum support </w:t>
      </w:r>
      <w:r w:rsidR="7555DEE4" w:rsidRPr="2232B6E1">
        <w:rPr>
          <w:rFonts w:ascii="Arial" w:eastAsia="Arial" w:hAnsi="Arial" w:cs="Arial"/>
          <w:sz w:val="22"/>
          <w:szCs w:val="22"/>
        </w:rPr>
        <w:t>levy</w:t>
      </w:r>
      <w:r w:rsidRPr="47D51BD3">
        <w:rPr>
          <w:rFonts w:ascii="Arial" w:eastAsia="Arial" w:hAnsi="Arial" w:cs="Arial"/>
          <w:sz w:val="22"/>
          <w:szCs w:val="22"/>
        </w:rPr>
        <w:t xml:space="preserve"> to be cleared before someone becomes eligible for settlement adds an unnecessary, financial burden on top of that longer timeline. Under this clause, the ability for someone to reach settlement would depend not only on time spent here and any contribution criteria, but also on their capacity to pay off an historic debt which they accrued through no fault of their own. </w:t>
      </w:r>
    </w:p>
    <w:p w14:paraId="7C00873E" w14:textId="1F7D7D59" w:rsidR="00AE7BF5"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Clause 23 also needs to be read in conjunction with Part 2 of the Bill and the public interest considerations in Clause 19.</w:t>
      </w:r>
      <w:r w:rsidR="00651471" w:rsidRPr="47D51BD3">
        <w:rPr>
          <w:rFonts w:ascii="Arial" w:eastAsia="Arial" w:hAnsi="Arial" w:cs="Arial"/>
          <w:sz w:val="22"/>
          <w:szCs w:val="22"/>
          <w:vertAlign w:val="superscript"/>
        </w:rPr>
        <w:footnoteReference w:id="113"/>
      </w:r>
      <w:r w:rsidRPr="47D51BD3">
        <w:rPr>
          <w:rFonts w:ascii="Arial" w:eastAsia="Arial" w:hAnsi="Arial" w:cs="Arial"/>
          <w:sz w:val="22"/>
          <w:szCs w:val="22"/>
          <w:vertAlign w:val="superscript"/>
        </w:rPr>
        <w:t xml:space="preserve"> </w:t>
      </w:r>
      <w:r w:rsidRPr="47D51BD3">
        <w:rPr>
          <w:rFonts w:ascii="Arial" w:eastAsia="Arial" w:hAnsi="Arial" w:cs="Arial"/>
          <w:sz w:val="22"/>
          <w:szCs w:val="22"/>
        </w:rPr>
        <w:t>Someone now required to repay historic support would in practice</w:t>
      </w:r>
      <w:r w:rsidR="19F5F5D7" w:rsidRPr="2232B6E1">
        <w:rPr>
          <w:rFonts w:ascii="Arial" w:eastAsia="Arial" w:hAnsi="Arial" w:cs="Arial"/>
          <w:sz w:val="22"/>
          <w:szCs w:val="22"/>
        </w:rPr>
        <w:t xml:space="preserve"> be</w:t>
      </w:r>
      <w:r w:rsidRPr="47D51BD3">
        <w:rPr>
          <w:rFonts w:ascii="Arial" w:eastAsia="Arial" w:hAnsi="Arial" w:cs="Arial"/>
          <w:sz w:val="22"/>
          <w:szCs w:val="22"/>
        </w:rPr>
        <w:t xml:space="preserve"> worse placed to satisfy Clause 19(2)'s forward-looking test of likely future financial independence, which is the same test that determines how their family life is weighed in an Article 8 case. </w:t>
      </w:r>
      <w:r w:rsidRPr="2232B6E1">
        <w:rPr>
          <w:rFonts w:ascii="Arial" w:eastAsia="Arial" w:hAnsi="Arial" w:cs="Arial"/>
          <w:sz w:val="22"/>
          <w:szCs w:val="22"/>
        </w:rPr>
        <w:t>A person</w:t>
      </w:r>
      <w:r w:rsidR="41D16386" w:rsidRPr="2232B6E1">
        <w:rPr>
          <w:rFonts w:ascii="Arial" w:eastAsia="Arial" w:hAnsi="Arial" w:cs="Arial"/>
          <w:sz w:val="22"/>
          <w:szCs w:val="22"/>
        </w:rPr>
        <w:t xml:space="preserve"> complying with Clause 23</w:t>
      </w:r>
      <w:r w:rsidRPr="47D51BD3">
        <w:rPr>
          <w:rFonts w:ascii="Arial" w:eastAsia="Arial" w:hAnsi="Arial" w:cs="Arial"/>
          <w:sz w:val="22"/>
          <w:szCs w:val="22"/>
        </w:rPr>
        <w:t xml:space="preserve"> may simultaneously be undermining their own Article 8 case, since the Bill nowhere addresses</w:t>
      </w:r>
      <w:r w:rsidRPr="47D51BD3">
        <w:rPr>
          <w:rFonts w:ascii="Arial" w:eastAsia="Arial" w:hAnsi="Arial" w:cs="Arial"/>
          <w:sz w:val="22"/>
          <w:szCs w:val="22"/>
          <w:lang w:val="en-US"/>
        </w:rPr>
        <w:t xml:space="preserve"> </w:t>
      </w:r>
      <w:r w:rsidRPr="47D51BD3">
        <w:rPr>
          <w:rFonts w:ascii="Arial" w:eastAsia="Arial" w:hAnsi="Arial" w:cs="Arial"/>
          <w:sz w:val="22"/>
          <w:szCs w:val="22"/>
        </w:rPr>
        <w:t xml:space="preserve">how these two provisions interact. We note that the Government’s </w:t>
      </w:r>
      <w:r w:rsidR="246BE2A5" w:rsidRPr="47D51BD3">
        <w:rPr>
          <w:rFonts w:ascii="Arial" w:eastAsia="Arial" w:hAnsi="Arial" w:cs="Arial"/>
          <w:sz w:val="22"/>
          <w:szCs w:val="22"/>
        </w:rPr>
        <w:t>ECHR</w:t>
      </w:r>
      <w:r w:rsidRPr="47D51BD3">
        <w:rPr>
          <w:rFonts w:ascii="Arial" w:eastAsia="Arial" w:hAnsi="Arial" w:cs="Arial"/>
          <w:sz w:val="22"/>
          <w:szCs w:val="22"/>
        </w:rPr>
        <w:t xml:space="preserve"> Memorandum does not address this directly.</w:t>
      </w:r>
    </w:p>
    <w:p w14:paraId="3B0C8B5F" w14:textId="524C7659"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s.23(6) provides some exemptions. For (a) anyone who </w:t>
      </w:r>
      <w:proofErr w:type="gramStart"/>
      <w:r w:rsidRPr="47D51BD3">
        <w:rPr>
          <w:rFonts w:ascii="Arial" w:eastAsia="Arial" w:hAnsi="Arial" w:cs="Arial"/>
          <w:sz w:val="22"/>
          <w:szCs w:val="22"/>
        </w:rPr>
        <w:t>was under 18 at all times</w:t>
      </w:r>
      <w:proofErr w:type="gramEnd"/>
      <w:r w:rsidRPr="47D51BD3">
        <w:rPr>
          <w:rFonts w:ascii="Arial" w:eastAsia="Arial" w:hAnsi="Arial" w:cs="Arial"/>
          <w:sz w:val="22"/>
          <w:szCs w:val="22"/>
        </w:rPr>
        <w:t xml:space="preserve"> while receiving support; (b) anyone who started receiving support before this section comes into force; (c) further categories by regulation. Notably, the Bill does not include further exemptions. </w:t>
      </w:r>
    </w:p>
    <w:p w14:paraId="4C1DE158" w14:textId="0595C314"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In relation to children, s.23(6)(a) only protects someone who was under 18 for the entire period they received support. Someone who received support as a 17-year-old and turned 18 while still receiving it falls outside the exemption for that period, despite having been a minor when the need for support started. This is a narrower protection that would punish children and young people for receiving vital support. </w:t>
      </w:r>
    </w:p>
    <w:p w14:paraId="0216CA0C" w14:textId="5929C2AE"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 gap in s.23(6)(a) sits in real tension with the UK's obligations under the UN Convention on the Rights of the Child (UNCRC). Article 3 UNCRC requires the best interests of the child to be a primary consideration in all actions concerning them.</w:t>
      </w:r>
      <w:r w:rsidR="00651471" w:rsidRPr="47D51BD3">
        <w:rPr>
          <w:rFonts w:ascii="Arial" w:eastAsia="Arial" w:hAnsi="Arial" w:cs="Arial"/>
          <w:sz w:val="22"/>
          <w:szCs w:val="22"/>
          <w:vertAlign w:val="superscript"/>
        </w:rPr>
        <w:footnoteReference w:id="114"/>
      </w:r>
      <w:r w:rsidRPr="47D51BD3">
        <w:rPr>
          <w:rFonts w:ascii="Arial" w:eastAsia="Arial" w:hAnsi="Arial" w:cs="Arial"/>
          <w:sz w:val="22"/>
          <w:szCs w:val="22"/>
          <w:vertAlign w:val="superscript"/>
        </w:rPr>
        <w:t xml:space="preserve"> </w:t>
      </w:r>
      <w:r w:rsidRPr="47D51BD3">
        <w:rPr>
          <w:rFonts w:ascii="Arial" w:eastAsia="Arial" w:hAnsi="Arial" w:cs="Arial"/>
          <w:sz w:val="22"/>
          <w:szCs w:val="22"/>
        </w:rPr>
        <w:t>Therefore, introducing a rule that determines if a young person is exempt from a future repayment demand based on nothing more than whether their 18th birthday happened to fall before or after their case was resolved, which primarily sits with the Home Office, does not treat their best interests as a primary consideration at all.</w:t>
      </w:r>
    </w:p>
    <w:p w14:paraId="44F54D89" w14:textId="0C0F621D"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may also engage Article 2 UNCRC, on prohibition on discrimination.</w:t>
      </w:r>
      <w:r w:rsidR="00651471" w:rsidRPr="47D51BD3">
        <w:rPr>
          <w:rFonts w:ascii="Arial" w:eastAsia="Arial" w:hAnsi="Arial" w:cs="Arial"/>
          <w:sz w:val="22"/>
          <w:szCs w:val="22"/>
          <w:vertAlign w:val="superscript"/>
        </w:rPr>
        <w:footnoteReference w:id="115"/>
      </w:r>
      <w:r w:rsidRPr="47D51BD3">
        <w:rPr>
          <w:rFonts w:ascii="Arial" w:eastAsia="Arial" w:hAnsi="Arial" w:cs="Arial"/>
          <w:sz w:val="22"/>
          <w:szCs w:val="22"/>
        </w:rPr>
        <w:t xml:space="preserve"> Two children in identical circumstances who received support could face completely different outcomes, with one exempt from ever repaying it and the other liable, simply because one case happened to resolve faster than the other. They would be worse off because of administrative timing entirely outside of their control. </w:t>
      </w:r>
    </w:p>
    <w:p w14:paraId="1B900AAF" w14:textId="6E374956"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How this Part of the Bill would interact with devolved legislation is also worth flagging. In Scotland, for example, this raises a specific concern. Asylum and immigration policy is reserved, and the UNCRC (Incorporation) (Scotland) Act 2024 does not apply to it directly. However, housing, social work and child welfare support are devolved, and Scottish public authorities delivering that support are bound by the 2024 Act's duty to act compatibly with the UNCRC.</w:t>
      </w:r>
      <w:r w:rsidR="00651471" w:rsidRPr="47D51BD3">
        <w:rPr>
          <w:rFonts w:ascii="Arial" w:eastAsia="Arial" w:hAnsi="Arial" w:cs="Arial"/>
          <w:sz w:val="22"/>
          <w:szCs w:val="22"/>
          <w:vertAlign w:val="superscript"/>
        </w:rPr>
        <w:footnoteReference w:id="116"/>
      </w:r>
      <w:r w:rsidRPr="47D51BD3">
        <w:rPr>
          <w:rFonts w:ascii="Arial" w:eastAsia="Arial" w:hAnsi="Arial" w:cs="Arial"/>
          <w:sz w:val="22"/>
          <w:szCs w:val="22"/>
        </w:rPr>
        <w:t xml:space="preserve"> A repayment demand made under this reserved power could leave a young person destitute in Scotland, leaving devolved Scottish bodies to respond in a way that is UNCRC compliant, even though the harm was caused by legislation entirely outside the reach of the Scottish Act.</w:t>
      </w:r>
    </w:p>
    <w:p w14:paraId="1F725FA5" w14:textId="77C2F0DD" w:rsidR="00651471" w:rsidRPr="009908E8" w:rsidRDefault="0603F9AF" w:rsidP="00BF24E6">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Part 4 effectively creates a charge for seeking sanctuary. People are placed in state-</w:t>
      </w:r>
      <w:r w:rsidR="57F4E346" w:rsidRPr="47D51BD3">
        <w:rPr>
          <w:rFonts w:ascii="Arial" w:eastAsia="Arial" w:hAnsi="Arial" w:cs="Arial"/>
          <w:sz w:val="22"/>
          <w:szCs w:val="22"/>
        </w:rPr>
        <w:t>f</w:t>
      </w:r>
      <w:r w:rsidRPr="47D51BD3">
        <w:rPr>
          <w:rFonts w:ascii="Arial" w:eastAsia="Arial" w:hAnsi="Arial" w:cs="Arial"/>
          <w:sz w:val="22"/>
          <w:szCs w:val="22"/>
        </w:rPr>
        <w:t xml:space="preserve">unded accommodation and receive support because they are banned from working and because their asylum claim takes months or years to resolve, as a direct result of the backlog and delays in the system, compounded by the ongoing legal aid crisis. Part 4 asks people to repay the cost of that support once they </w:t>
      </w:r>
      <w:proofErr w:type="gramStart"/>
      <w:r w:rsidRPr="47D51BD3">
        <w:rPr>
          <w:rFonts w:ascii="Arial" w:eastAsia="Arial" w:hAnsi="Arial" w:cs="Arial"/>
          <w:sz w:val="22"/>
          <w:szCs w:val="22"/>
        </w:rPr>
        <w:t>are able to</w:t>
      </w:r>
      <w:proofErr w:type="gramEnd"/>
      <w:r w:rsidRPr="47D51BD3">
        <w:rPr>
          <w:rFonts w:ascii="Arial" w:eastAsia="Arial" w:hAnsi="Arial" w:cs="Arial"/>
          <w:sz w:val="22"/>
          <w:szCs w:val="22"/>
        </w:rPr>
        <w:t>, effectively paying for the consequences of poor Home Office decision-making and an under</w:t>
      </w:r>
      <w:r w:rsidR="048240B6" w:rsidRPr="47D51BD3">
        <w:rPr>
          <w:rFonts w:ascii="Arial" w:eastAsia="Arial" w:hAnsi="Arial" w:cs="Arial"/>
          <w:sz w:val="22"/>
          <w:szCs w:val="22"/>
        </w:rPr>
        <w:t xml:space="preserve"> </w:t>
      </w:r>
      <w:r w:rsidRPr="47D51BD3">
        <w:rPr>
          <w:rFonts w:ascii="Arial" w:eastAsia="Arial" w:hAnsi="Arial" w:cs="Arial"/>
          <w:sz w:val="22"/>
          <w:szCs w:val="22"/>
        </w:rPr>
        <w:t xml:space="preserve">resourced legal aid system. </w:t>
      </w:r>
    </w:p>
    <w:p w14:paraId="4E995858" w14:textId="4344B4F7" w:rsidR="00400321" w:rsidRPr="009908E8" w:rsidRDefault="00400321" w:rsidP="1B9E9B8D">
      <w:pPr>
        <w:pStyle w:val="NoSpacing"/>
        <w:spacing w:line="276" w:lineRule="auto"/>
      </w:pPr>
    </w:p>
    <w:p w14:paraId="07A1E832" w14:textId="76F78FAE" w:rsidR="00B829F8" w:rsidRPr="009908E8" w:rsidRDefault="2CCB47B1"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Part 5 Modern slavery</w:t>
      </w:r>
    </w:p>
    <w:p w14:paraId="0DB86ACF" w14:textId="2E81DA1A" w:rsidR="00B829F8" w:rsidRPr="009908E8" w:rsidRDefault="00B829F8" w:rsidP="1B9E9B8D">
      <w:pPr>
        <w:spacing w:after="80" w:line="276" w:lineRule="auto"/>
        <w:rPr>
          <w:rFonts w:ascii="Arial" w:eastAsia="Arial" w:hAnsi="Arial" w:cs="Arial"/>
          <w:b/>
          <w:color w:val="404A68"/>
          <w:sz w:val="22"/>
          <w:szCs w:val="22"/>
        </w:rPr>
      </w:pPr>
    </w:p>
    <w:p w14:paraId="322BBDBA" w14:textId="3B13BA0B" w:rsidR="00B72413" w:rsidRPr="009908E8" w:rsidRDefault="0C423D3A"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What the Bill does </w:t>
      </w:r>
    </w:p>
    <w:p w14:paraId="096091E5" w14:textId="7BED1F5E" w:rsidR="00400321" w:rsidRPr="009908E8" w:rsidRDefault="0C423D3A" w:rsidP="005A1A2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Part 5 makes extensive changes to the modern slavery framework established by the Modern Slavery Act 2015</w:t>
      </w:r>
      <w:r w:rsidR="00B72413" w:rsidRPr="47D51BD3">
        <w:rPr>
          <w:rFonts w:ascii="Arial" w:eastAsia="Arial" w:hAnsi="Arial" w:cs="Arial"/>
          <w:sz w:val="22"/>
          <w:szCs w:val="22"/>
          <w:vertAlign w:val="superscript"/>
        </w:rPr>
        <w:footnoteReference w:id="117"/>
      </w:r>
      <w:r w:rsidRPr="47D51BD3">
        <w:rPr>
          <w:rFonts w:ascii="Arial" w:eastAsia="Arial" w:hAnsi="Arial" w:cs="Arial"/>
          <w:sz w:val="22"/>
          <w:szCs w:val="22"/>
          <w:vertAlign w:val="superscript"/>
        </w:rPr>
        <w:t xml:space="preserve"> </w:t>
      </w:r>
      <w:r w:rsidRPr="47D51BD3">
        <w:rPr>
          <w:rFonts w:ascii="Arial" w:eastAsia="Arial" w:hAnsi="Arial" w:cs="Arial"/>
          <w:sz w:val="22"/>
          <w:szCs w:val="22"/>
        </w:rPr>
        <w:t>and the Nationality and Borders Act 2022.</w:t>
      </w:r>
      <w:r w:rsidR="00B72413" w:rsidRPr="47D51BD3">
        <w:rPr>
          <w:rFonts w:ascii="Arial" w:eastAsia="Arial" w:hAnsi="Arial" w:cs="Arial"/>
          <w:sz w:val="22"/>
          <w:szCs w:val="22"/>
          <w:vertAlign w:val="superscript"/>
        </w:rPr>
        <w:footnoteReference w:id="118"/>
      </w:r>
      <w:r w:rsidRPr="47D51BD3">
        <w:rPr>
          <w:rFonts w:ascii="Arial" w:eastAsia="Arial" w:hAnsi="Arial" w:cs="Arial"/>
          <w:sz w:val="22"/>
          <w:szCs w:val="22"/>
          <w:vertAlign w:val="superscript"/>
        </w:rPr>
        <w:t xml:space="preserve"> </w:t>
      </w:r>
      <w:r w:rsidRPr="47D51BD3">
        <w:rPr>
          <w:rFonts w:ascii="Arial" w:eastAsia="Arial" w:hAnsi="Arial" w:cs="Arial"/>
          <w:sz w:val="22"/>
          <w:szCs w:val="22"/>
        </w:rPr>
        <w:t>It creates a new credibility mechanism requiring delay and inconsistency in a survivor's account to be treated as damaging their case unless good reasons are shown. It ends a survivor's recovery period immediately upon a negative conclusive grounds’ decision, and it removes the existing duty to grant leave to remain to assist a confirmed victim's recovery. It restructures the grounds on which a person can be disqualified from protection, introducing a new bad faith disqualification alongside the existing public order ground, with different child exemptions attached to each. It gives the Secretary of State a new power to override a professional assessment that support is necessary for a potential victim. It also strengthens enforcement powers against perpetrators and suspects, including extending slavery and trafficking risk orders to acquitted defendants and introducing electronic monitoring, and extends existing corporate transparency reporting duties on modern slavery to large public authorities.</w:t>
      </w:r>
    </w:p>
    <w:p w14:paraId="59B6F059" w14:textId="460147ED" w:rsidR="00B72413" w:rsidRPr="009908E8" w:rsidRDefault="0C423D3A" w:rsidP="1B9E9B8D">
      <w:pPr>
        <w:spacing w:after="80"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ILPA rejects the framing </w:t>
      </w:r>
    </w:p>
    <w:p w14:paraId="671BE30F" w14:textId="579D2A57" w:rsidR="00B72413" w:rsidRPr="009908E8" w:rsidRDefault="0C423D3A" w:rsidP="005A1A2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 Bill's provisions are consistently justified by the UK Government by pointing to the risk of the modern slavery system being misused, and that individuals can submit a modern slavery claim.</w:t>
      </w:r>
      <w:r w:rsidR="00B72413" w:rsidRPr="47D51BD3">
        <w:rPr>
          <w:rFonts w:ascii="Arial" w:eastAsia="Arial" w:hAnsi="Arial" w:cs="Arial"/>
          <w:sz w:val="22"/>
          <w:szCs w:val="22"/>
          <w:vertAlign w:val="superscript"/>
        </w:rPr>
        <w:footnoteReference w:id="119"/>
      </w:r>
      <w:r w:rsidRPr="47D51BD3">
        <w:rPr>
          <w:rFonts w:ascii="Arial" w:eastAsia="Arial" w:hAnsi="Arial" w:cs="Arial"/>
          <w:sz w:val="22"/>
          <w:szCs w:val="22"/>
        </w:rPr>
        <w:t xml:space="preserve"> This narrative is misleading for one simple fact, an individual cannot self-refer to the Home Office for identification as a victim. They must instead be identified by a First Responder, who makes a referral into the National Referral Mechanism (NRM), a two-stage process (a reasonable grounds decision, followed by a conclusive ground decision) which already places an exceptionally high evidential burden on survivors.</w:t>
      </w:r>
      <w:r w:rsidR="00B72413" w:rsidRPr="47D51BD3">
        <w:rPr>
          <w:rStyle w:val="FootnoteReference"/>
          <w:rFonts w:ascii="Arial" w:eastAsia="Arial" w:hAnsi="Arial" w:cs="Arial"/>
          <w:sz w:val="22"/>
          <w:szCs w:val="22"/>
        </w:rPr>
        <w:footnoteReference w:id="120"/>
      </w:r>
    </w:p>
    <w:p w14:paraId="18B476CE" w14:textId="04787C0E" w:rsidR="00B72413" w:rsidRPr="009908E8" w:rsidRDefault="0C423D3A" w:rsidP="0037100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According to the Home Office's own figures, in 2025, of 23,411 potential victims of modern slavery referred into the NRM, only 6 were disqualified on the grounds that their claim was made in bad faith.</w:t>
      </w:r>
      <w:r w:rsidR="00B72413" w:rsidRPr="47D51BD3">
        <w:rPr>
          <w:rFonts w:ascii="Arial" w:eastAsia="Arial" w:hAnsi="Arial" w:cs="Arial"/>
          <w:sz w:val="22"/>
          <w:szCs w:val="22"/>
          <w:vertAlign w:val="superscript"/>
        </w:rPr>
        <w:footnoteReference w:id="121"/>
      </w:r>
      <w:r w:rsidRPr="47D51BD3">
        <w:rPr>
          <w:rFonts w:ascii="Arial" w:eastAsia="Arial" w:hAnsi="Arial" w:cs="Arial"/>
          <w:sz w:val="22"/>
          <w:szCs w:val="22"/>
          <w:vertAlign w:val="superscript"/>
        </w:rPr>
        <w:t xml:space="preserve"> </w:t>
      </w:r>
      <w:r w:rsidRPr="47D51BD3">
        <w:rPr>
          <w:rFonts w:ascii="Arial" w:eastAsia="Arial" w:hAnsi="Arial" w:cs="Arial"/>
          <w:sz w:val="22"/>
          <w:szCs w:val="22"/>
        </w:rPr>
        <w:t>The Independent Anti-Slavery Commissioner has separately criticised the Government for language suggesting the system is being misused, and has reported on the significant barriers survivors already face in accessing an NRM referral at all,</w:t>
      </w:r>
      <w:r w:rsidR="00B72413" w:rsidRPr="47D51BD3">
        <w:rPr>
          <w:rFonts w:ascii="Arial" w:eastAsia="Arial" w:hAnsi="Arial" w:cs="Arial"/>
          <w:sz w:val="22"/>
          <w:szCs w:val="22"/>
          <w:vertAlign w:val="superscript"/>
        </w:rPr>
        <w:footnoteReference w:id="122"/>
      </w:r>
      <w:r w:rsidRPr="47D51BD3">
        <w:rPr>
          <w:rFonts w:ascii="Arial" w:eastAsia="Arial" w:hAnsi="Arial" w:cs="Arial"/>
          <w:sz w:val="22"/>
          <w:szCs w:val="22"/>
        </w:rPr>
        <w:t xml:space="preserve"> which </w:t>
      </w:r>
      <w:proofErr w:type="spellStart"/>
      <w:r w:rsidRPr="47D51BD3">
        <w:rPr>
          <w:rFonts w:ascii="Arial" w:eastAsia="Arial" w:hAnsi="Arial" w:cs="Arial"/>
          <w:sz w:val="22"/>
          <w:szCs w:val="22"/>
        </w:rPr>
        <w:t>lead</w:t>
      </w:r>
      <w:proofErr w:type="spellEnd"/>
      <w:r w:rsidRPr="47D51BD3">
        <w:rPr>
          <w:rFonts w:ascii="Arial" w:eastAsia="Arial" w:hAnsi="Arial" w:cs="Arial"/>
          <w:sz w:val="22"/>
          <w:szCs w:val="22"/>
        </w:rPr>
        <w:t xml:space="preserve"> many to decline to be referred. The evidence does not support the </w:t>
      </w:r>
      <w:r w:rsidR="2F62B31F" w:rsidRPr="47D51BD3">
        <w:rPr>
          <w:rFonts w:ascii="Arial" w:eastAsia="Arial" w:hAnsi="Arial" w:cs="Arial"/>
          <w:sz w:val="22"/>
          <w:szCs w:val="22"/>
        </w:rPr>
        <w:t xml:space="preserve">case for these </w:t>
      </w:r>
      <w:r w:rsidR="6FF03C6F" w:rsidRPr="47D51BD3">
        <w:rPr>
          <w:rFonts w:ascii="Arial" w:eastAsia="Arial" w:hAnsi="Arial" w:cs="Arial"/>
          <w:sz w:val="22"/>
          <w:szCs w:val="22"/>
        </w:rPr>
        <w:t>restrictions</w:t>
      </w:r>
      <w:r w:rsidRPr="47D51BD3">
        <w:rPr>
          <w:rFonts w:ascii="Arial" w:eastAsia="Arial" w:hAnsi="Arial" w:cs="Arial"/>
          <w:sz w:val="22"/>
          <w:szCs w:val="22"/>
        </w:rPr>
        <w:t xml:space="preserve">, and we strongly oppose </w:t>
      </w:r>
      <w:r w:rsidR="19B5C40C" w:rsidRPr="47D51BD3">
        <w:rPr>
          <w:rFonts w:ascii="Arial" w:eastAsia="Arial" w:hAnsi="Arial" w:cs="Arial"/>
          <w:sz w:val="22"/>
          <w:szCs w:val="22"/>
        </w:rPr>
        <w:t>them</w:t>
      </w:r>
      <w:r w:rsidRPr="47D51BD3">
        <w:rPr>
          <w:rFonts w:ascii="Arial" w:eastAsia="Arial" w:hAnsi="Arial" w:cs="Arial"/>
          <w:sz w:val="22"/>
          <w:szCs w:val="22"/>
        </w:rPr>
        <w:t>.</w:t>
      </w:r>
    </w:p>
    <w:p w14:paraId="1C1FA1F8" w14:textId="7CD7286A"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Human trafficking and modern slavery are grave crimes and serious violations of human rights. We do not believe that immigration enforcement must be prioritised over the UK's response to modern slavery. We identify the practical consequence of successive governments prioritising immigration enforcement over safeguarding, which created a high-reward environment for perpetrators, where survivors cannot access the </w:t>
      </w:r>
      <w:proofErr w:type="gramStart"/>
      <w:r w:rsidRPr="47D51BD3">
        <w:rPr>
          <w:rFonts w:ascii="Arial" w:eastAsia="Arial" w:hAnsi="Arial" w:cs="Arial"/>
          <w:sz w:val="22"/>
          <w:szCs w:val="22"/>
        </w:rPr>
        <w:t>support</w:t>
      </w:r>
      <w:proofErr w:type="gramEnd"/>
      <w:r w:rsidRPr="47D51BD3">
        <w:rPr>
          <w:rFonts w:ascii="Arial" w:eastAsia="Arial" w:hAnsi="Arial" w:cs="Arial"/>
          <w:sz w:val="22"/>
          <w:szCs w:val="22"/>
        </w:rPr>
        <w:t xml:space="preserve"> they need to recover, and exploitation flourishes.</w:t>
      </w:r>
    </w:p>
    <w:p w14:paraId="74A01817" w14:textId="1C5E9AF6"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As a matter of fact, the Council of Europe's Group of Experts on Action against Trafficking in Human Beings (GRETA), which is responsible for monitoring UK compliance with ECAT, adopted its fourth evaluation report on the UK in November 2025.</w:t>
      </w:r>
      <w:r w:rsidR="00B72413" w:rsidRPr="47D51BD3">
        <w:rPr>
          <w:rFonts w:ascii="Arial" w:eastAsia="Arial" w:hAnsi="Arial" w:cs="Arial"/>
          <w:sz w:val="22"/>
          <w:szCs w:val="22"/>
          <w:vertAlign w:val="superscript"/>
        </w:rPr>
        <w:footnoteReference w:id="123"/>
      </w:r>
      <w:r w:rsidRPr="47D51BD3">
        <w:rPr>
          <w:rFonts w:ascii="Arial" w:eastAsia="Arial" w:hAnsi="Arial" w:cs="Arial"/>
          <w:sz w:val="22"/>
          <w:szCs w:val="22"/>
          <w:vertAlign w:val="superscript"/>
        </w:rPr>
        <w:t xml:space="preserve"> </w:t>
      </w:r>
      <w:r w:rsidRPr="47D51BD3">
        <w:rPr>
          <w:rFonts w:ascii="Arial" w:eastAsia="Arial" w:hAnsi="Arial" w:cs="Arial"/>
          <w:sz w:val="22"/>
          <w:szCs w:val="22"/>
        </w:rPr>
        <w:t>It found that recent immigration legislation has increased survivors' vulnerability to trafficking, and directly urged the UK to ensure residence permits are issued to all confirmed victims who need them, and that disqualification on public order or bad faith grounds is used only in very exceptional circumstances, with due regard to individual proportionality.</w:t>
      </w:r>
    </w:p>
    <w:p w14:paraId="0C08268F" w14:textId="0C79FDD2"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GRETA has also raised concerns about survivors' access to legal aid, noting that legal aid providers remain concentrated in major cities, far from where many survivors are actually accommodated, and once again ur</w:t>
      </w:r>
      <w:r w:rsidR="727E06FA" w:rsidRPr="47D51BD3">
        <w:rPr>
          <w:rFonts w:ascii="Arial" w:eastAsia="Arial" w:hAnsi="Arial" w:cs="Arial"/>
          <w:sz w:val="22"/>
          <w:szCs w:val="22"/>
        </w:rPr>
        <w:t>ged</w:t>
      </w:r>
      <w:r w:rsidRPr="47D51BD3">
        <w:rPr>
          <w:rFonts w:ascii="Arial" w:eastAsia="Arial" w:hAnsi="Arial" w:cs="Arial"/>
          <w:sz w:val="22"/>
          <w:szCs w:val="22"/>
        </w:rPr>
        <w:t xml:space="preserve"> the UK Government to ensure legal assistance is available before a person even enters the NRM, not only afterwards.</w:t>
      </w:r>
    </w:p>
    <w:p w14:paraId="59BD04AC" w14:textId="04C21FF4"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Furthermore, GRETA states that recent immigration legislation in the UK has increased children's vulnerability to trafficking by making them less likely to seek support for fear of criminalisation and deportation. The provisions in this Part will only exacerbate this problem, and the Bill moves in the opposite direction from what that international monitoring body recommended.</w:t>
      </w:r>
    </w:p>
    <w:p w14:paraId="43691632" w14:textId="702574EF"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Why this will not achieve the Government's stated aims</w:t>
      </w:r>
    </w:p>
    <w:p w14:paraId="31856298" w14:textId="6CF5DF6C"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An effective response to trafficking depends on victims coming forward, cooperating with investigations, and being able to recover in safety. Fear of disqualification, detention, removal, or disbelief is already used by traffickers as a tool of coercion to prevent survivors seeking help.</w:t>
      </w:r>
      <w:r w:rsidR="00B72413" w:rsidRPr="47D51BD3">
        <w:rPr>
          <w:rFonts w:ascii="Arial" w:eastAsia="Arial" w:hAnsi="Arial" w:cs="Arial"/>
          <w:sz w:val="22"/>
          <w:szCs w:val="22"/>
          <w:vertAlign w:val="superscript"/>
        </w:rPr>
        <w:footnoteReference w:id="124"/>
      </w:r>
      <w:r w:rsidRPr="47D51BD3">
        <w:rPr>
          <w:rFonts w:ascii="Arial" w:eastAsia="Arial" w:hAnsi="Arial" w:cs="Arial"/>
          <w:sz w:val="22"/>
          <w:szCs w:val="22"/>
          <w:vertAlign w:val="superscript"/>
        </w:rPr>
        <w:t xml:space="preserve"> </w:t>
      </w:r>
      <w:r w:rsidRPr="47D51BD3">
        <w:rPr>
          <w:rFonts w:ascii="Arial" w:eastAsia="Arial" w:hAnsi="Arial" w:cs="Arial"/>
          <w:sz w:val="22"/>
          <w:szCs w:val="22"/>
        </w:rPr>
        <w:t xml:space="preserve">Measures that increase those fears, rather than reduce them, are likely to entrench survivors' vulnerability to their exploiters rather than disrupt the criminal networks </w:t>
      </w:r>
      <w:proofErr w:type="gramStart"/>
      <w:r w:rsidRPr="47D51BD3">
        <w:rPr>
          <w:rFonts w:ascii="Arial" w:eastAsia="Arial" w:hAnsi="Arial" w:cs="Arial"/>
          <w:sz w:val="22"/>
          <w:szCs w:val="22"/>
        </w:rPr>
        <w:t>responsible, and</w:t>
      </w:r>
      <w:proofErr w:type="gramEnd"/>
      <w:r w:rsidRPr="47D51BD3">
        <w:rPr>
          <w:rFonts w:ascii="Arial" w:eastAsia="Arial" w:hAnsi="Arial" w:cs="Arial"/>
          <w:sz w:val="22"/>
          <w:szCs w:val="22"/>
        </w:rPr>
        <w:t xml:space="preserve"> place the balance of risk </w:t>
      </w:r>
      <w:r w:rsidR="0D27BE1E" w:rsidRPr="47D51BD3">
        <w:rPr>
          <w:rFonts w:ascii="Arial" w:eastAsia="Arial" w:hAnsi="Arial" w:cs="Arial"/>
          <w:sz w:val="22"/>
          <w:szCs w:val="22"/>
        </w:rPr>
        <w:t xml:space="preserve">even </w:t>
      </w:r>
      <w:r w:rsidRPr="47D51BD3">
        <w:rPr>
          <w:rFonts w:ascii="Arial" w:eastAsia="Arial" w:hAnsi="Arial" w:cs="Arial"/>
          <w:sz w:val="22"/>
          <w:szCs w:val="22"/>
        </w:rPr>
        <w:t>further onto survivors.</w:t>
      </w:r>
    </w:p>
    <w:p w14:paraId="35F84E4B" w14:textId="4E380D2B"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 xml:space="preserve">Section 36: Deciding if a person is a victim: credibility </w:t>
      </w:r>
    </w:p>
    <w:p w14:paraId="65F74281" w14:textId="7BAA1FBF"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S.60A of the Nationality and Borders Act 2022</w:t>
      </w:r>
      <w:r w:rsidR="00B72413" w:rsidRPr="47D51BD3">
        <w:rPr>
          <w:rStyle w:val="FootnoteReference"/>
          <w:rFonts w:ascii="Arial" w:eastAsia="Arial" w:hAnsi="Arial" w:cs="Arial"/>
          <w:sz w:val="22"/>
          <w:szCs w:val="22"/>
        </w:rPr>
        <w:footnoteReference w:id="125"/>
      </w:r>
      <w:r w:rsidRPr="47D51BD3">
        <w:rPr>
          <w:rFonts w:ascii="Arial" w:eastAsia="Arial" w:hAnsi="Arial" w:cs="Arial"/>
          <w:sz w:val="22"/>
          <w:szCs w:val="22"/>
        </w:rPr>
        <w:t xml:space="preserve"> is amended to require a competent authority to treat delay in making a claim, delay in providing information, inaccuracies, inconsistencies, and similarities with other people's accounts as damaging a person's credibility, unless there are "good reasons" for it.</w:t>
      </w:r>
      <w:r w:rsidR="00B72413" w:rsidRPr="47D51BD3">
        <w:rPr>
          <w:rStyle w:val="FootnoteReference"/>
          <w:rFonts w:ascii="Arial" w:eastAsia="Arial" w:hAnsi="Arial" w:cs="Arial"/>
          <w:sz w:val="22"/>
          <w:szCs w:val="22"/>
        </w:rPr>
        <w:footnoteReference w:id="126"/>
      </w:r>
      <w:r w:rsidRPr="47D51BD3">
        <w:rPr>
          <w:rFonts w:ascii="Arial" w:eastAsia="Arial" w:hAnsi="Arial" w:cs="Arial"/>
          <w:sz w:val="22"/>
          <w:szCs w:val="22"/>
        </w:rPr>
        <w:t xml:space="preserve"> Section 11(2) of this Bill's claim notice mechanism links directly with this provision, whereby stating that information provided after the claim notice deadline is treated as a delay for these purposes.</w:t>
      </w:r>
    </w:p>
    <w:p w14:paraId="17DC584B" w14:textId="43A3CD2E"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penalises a well-documented and entirely normal response to trauma. Survivors of trafficking and exploitation frequently cannot disclose the full extent of what happened to them at the first opportunity, whether from shame, fear, trauma-related memory difficulties, or fear of traffickers themselves.</w:t>
      </w:r>
      <w:r w:rsidR="00B72413" w:rsidRPr="47D51BD3">
        <w:rPr>
          <w:rStyle w:val="FootnoteReference"/>
          <w:rFonts w:ascii="Arial" w:eastAsia="Arial" w:hAnsi="Arial" w:cs="Arial"/>
          <w:sz w:val="22"/>
          <w:szCs w:val="22"/>
        </w:rPr>
        <w:footnoteReference w:id="127"/>
      </w:r>
      <w:r w:rsidRPr="47D51BD3">
        <w:rPr>
          <w:rFonts w:ascii="Arial" w:eastAsia="Arial" w:hAnsi="Arial" w:cs="Arial"/>
          <w:sz w:val="22"/>
          <w:szCs w:val="22"/>
        </w:rPr>
        <w:t xml:space="preserve"> Further, the Home Office‘s own Modern Slavery guidance accepts this position, highlighting that victims of trafficking and traumatised individuals often struggle to recollect facts, and are hesitant to self-identify as victims of modern slavery.</w:t>
      </w:r>
      <w:r w:rsidR="00B72413" w:rsidRPr="47D51BD3">
        <w:rPr>
          <w:rStyle w:val="FootnoteReference"/>
          <w:rFonts w:ascii="Arial" w:eastAsia="Arial" w:hAnsi="Arial" w:cs="Arial"/>
          <w:sz w:val="22"/>
          <w:szCs w:val="22"/>
        </w:rPr>
        <w:footnoteReference w:id="128"/>
      </w:r>
      <w:r w:rsidRPr="47D51BD3">
        <w:rPr>
          <w:rFonts w:ascii="Arial" w:eastAsia="Arial" w:hAnsi="Arial" w:cs="Arial"/>
          <w:sz w:val="22"/>
          <w:szCs w:val="22"/>
        </w:rPr>
        <w:t xml:space="preserve"> Introducing a specific disclosure timeframe, and treating lateness as presumptively damaging, risks penalising individuals in some of the most vulnerable conditions in the system for a response to trauma that is well understood in practice, and risks pushing them even further underground rather than encouraging disclosure.</w:t>
      </w:r>
    </w:p>
    <w:p w14:paraId="15C68117" w14:textId="6D2C9B90"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We note that Article 13 ECAT provides for a recovery and reflection period precisely because early disclosure is usually not realistic for trafficking survivors.</w:t>
      </w:r>
      <w:bookmarkStart w:id="18" w:name="_Ref234487085"/>
      <w:r w:rsidR="00B72413" w:rsidRPr="47D51BD3">
        <w:rPr>
          <w:rStyle w:val="FootnoteReference"/>
          <w:rFonts w:ascii="Arial" w:eastAsia="Arial" w:hAnsi="Arial" w:cs="Arial"/>
          <w:sz w:val="22"/>
          <w:szCs w:val="22"/>
        </w:rPr>
        <w:footnoteReference w:id="129"/>
      </w:r>
      <w:bookmarkEnd w:id="18"/>
      <w:r w:rsidRPr="47D51BD3">
        <w:rPr>
          <w:rFonts w:ascii="Arial" w:eastAsia="Arial" w:hAnsi="Arial" w:cs="Arial"/>
          <w:sz w:val="22"/>
          <w:szCs w:val="22"/>
        </w:rPr>
        <w:t xml:space="preserve"> The European Court of Human Rights has held, in </w:t>
      </w:r>
      <w:proofErr w:type="spellStart"/>
      <w:r w:rsidRPr="47D51BD3">
        <w:rPr>
          <w:rFonts w:ascii="Arial" w:eastAsia="Arial" w:hAnsi="Arial" w:cs="Arial"/>
          <w:i/>
          <w:sz w:val="22"/>
          <w:szCs w:val="22"/>
        </w:rPr>
        <w:t>Rantsev</w:t>
      </w:r>
      <w:proofErr w:type="spellEnd"/>
      <w:r w:rsidRPr="47D51BD3">
        <w:rPr>
          <w:rFonts w:ascii="Arial" w:eastAsia="Arial" w:hAnsi="Arial" w:cs="Arial"/>
          <w:i/>
          <w:sz w:val="22"/>
          <w:szCs w:val="22"/>
        </w:rPr>
        <w:t xml:space="preserve"> v Cyprus and Russia</w:t>
      </w:r>
      <w:r w:rsidRPr="47D51BD3">
        <w:rPr>
          <w:rFonts w:ascii="Arial" w:eastAsia="Arial" w:hAnsi="Arial" w:cs="Arial"/>
          <w:sz w:val="22"/>
          <w:szCs w:val="22"/>
        </w:rPr>
        <w:t>, that Article 4</w:t>
      </w:r>
      <w:r w:rsidR="306DBDA0" w:rsidRPr="47D51BD3">
        <w:rPr>
          <w:rFonts w:ascii="Arial" w:eastAsia="Arial" w:hAnsi="Arial" w:cs="Arial"/>
          <w:sz w:val="22"/>
          <w:szCs w:val="22"/>
        </w:rPr>
        <w:t xml:space="preserve"> ECHR</w:t>
      </w:r>
      <w:r w:rsidRPr="47D51BD3">
        <w:rPr>
          <w:rFonts w:ascii="Arial" w:eastAsia="Arial" w:hAnsi="Arial" w:cs="Arial"/>
          <w:sz w:val="22"/>
          <w:szCs w:val="22"/>
        </w:rPr>
        <w:t xml:space="preserve"> imposes a positive duty on states to identify potential victims and investigate credible claims, not simply to prohibit trafficking itself.</w:t>
      </w:r>
      <w:r w:rsidR="00B72413" w:rsidRPr="47D51BD3">
        <w:rPr>
          <w:rStyle w:val="FootnoteReference"/>
          <w:rFonts w:ascii="Arial" w:eastAsia="Arial" w:hAnsi="Arial" w:cs="Arial"/>
          <w:sz w:val="22"/>
          <w:szCs w:val="22"/>
        </w:rPr>
        <w:footnoteReference w:id="130"/>
      </w:r>
      <w:r w:rsidRPr="47D51BD3">
        <w:rPr>
          <w:rFonts w:ascii="Arial" w:eastAsia="Arial" w:hAnsi="Arial" w:cs="Arial"/>
          <w:sz w:val="22"/>
          <w:szCs w:val="22"/>
        </w:rPr>
        <w:t xml:space="preserve"> A credibility mechanism that treats delay as presumptively damaging risks sitting incompatibly with both instruments. </w:t>
      </w:r>
    </w:p>
    <w:p w14:paraId="3E43CD26" w14:textId="3BCFAE03"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What counts as a "good reason" for delay is left entirely to guidance the Secretary of State has not yet published, as highlighted in s.36(4). This is a substantial change that Parliament should be able to scrutinise. </w:t>
      </w:r>
    </w:p>
    <w:p w14:paraId="4A220BD6" w14:textId="2ED6C041"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37: Recovery period to end on making of negative conclusive grounds decision</w:t>
      </w:r>
    </w:p>
    <w:p w14:paraId="327AB8EE" w14:textId="225676E3"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The recovery period following a positive reasonable grounds decision would be set at 30 days. New s.61(4) provides that if a negative conclusive grounds decision is made within that 30-day period, the recovery period </w:t>
      </w:r>
      <w:proofErr w:type="gramStart"/>
      <w:r w:rsidRPr="47D51BD3">
        <w:rPr>
          <w:rFonts w:ascii="Arial" w:eastAsia="Arial" w:hAnsi="Arial" w:cs="Arial"/>
          <w:sz w:val="22"/>
          <w:szCs w:val="22"/>
        </w:rPr>
        <w:t>ends immediately,</w:t>
      </w:r>
      <w:proofErr w:type="gramEnd"/>
      <w:r w:rsidRPr="47D51BD3">
        <w:rPr>
          <w:rFonts w:ascii="Arial" w:eastAsia="Arial" w:hAnsi="Arial" w:cs="Arial"/>
          <w:sz w:val="22"/>
          <w:szCs w:val="22"/>
        </w:rPr>
        <w:t xml:space="preserve"> on the day that decision is made, rather than running its full course.</w:t>
      </w:r>
    </w:p>
    <w:p w14:paraId="31693FD4" w14:textId="56F624AC"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creates a cliff edge in support and protection. Negative conclusive grounds decisions are made at a high rate</w:t>
      </w:r>
      <w:r w:rsidR="00B72413" w:rsidRPr="47D51BD3">
        <w:rPr>
          <w:rStyle w:val="FootnoteReference"/>
          <w:rFonts w:ascii="Arial" w:eastAsia="Arial" w:hAnsi="Arial" w:cs="Arial"/>
          <w:sz w:val="22"/>
          <w:szCs w:val="22"/>
        </w:rPr>
        <w:footnoteReference w:id="131"/>
      </w:r>
      <w:r w:rsidRPr="47D51BD3">
        <w:rPr>
          <w:rFonts w:ascii="Arial" w:eastAsia="Arial" w:hAnsi="Arial" w:cs="Arial"/>
          <w:sz w:val="22"/>
          <w:szCs w:val="22"/>
        </w:rPr>
        <w:t>, and a high proportion of them are overturned on reconsideration. In 2025, 77% of reconsidered conclusive grounds decisions were overturned to positive,</w:t>
      </w:r>
      <w:r w:rsidR="00B72413" w:rsidRPr="47D51BD3">
        <w:rPr>
          <w:rStyle w:val="FootnoteReference"/>
          <w:rFonts w:ascii="Arial" w:eastAsia="Arial" w:hAnsi="Arial" w:cs="Arial"/>
          <w:sz w:val="22"/>
          <w:szCs w:val="22"/>
        </w:rPr>
        <w:footnoteReference w:id="132"/>
      </w:r>
      <w:r w:rsidRPr="47D51BD3">
        <w:rPr>
          <w:rFonts w:ascii="Arial" w:eastAsia="Arial" w:hAnsi="Arial" w:cs="Arial"/>
          <w:sz w:val="22"/>
          <w:szCs w:val="22"/>
        </w:rPr>
        <w:t xml:space="preserve"> rising to 88% in the first quarter of 2026,</w:t>
      </w:r>
      <w:r w:rsidR="00B72413" w:rsidRPr="47D51BD3">
        <w:rPr>
          <w:rStyle w:val="FootnoteReference"/>
          <w:rFonts w:ascii="Arial" w:eastAsia="Arial" w:hAnsi="Arial" w:cs="Arial"/>
          <w:sz w:val="22"/>
          <w:szCs w:val="22"/>
        </w:rPr>
        <w:footnoteReference w:id="133"/>
      </w:r>
      <w:r w:rsidRPr="47D51BD3">
        <w:rPr>
          <w:rFonts w:ascii="Arial" w:eastAsia="Arial" w:hAnsi="Arial" w:cs="Arial"/>
          <w:sz w:val="22"/>
          <w:szCs w:val="22"/>
        </w:rPr>
        <w:t xml:space="preserve"> a rate high enough to indicate a systemic problem with the quality of initial decision-making rather than simply new evidence emerging.</w:t>
      </w:r>
      <w:r w:rsidR="00B72413" w:rsidRPr="47D51BD3">
        <w:rPr>
          <w:rStyle w:val="FootnoteReference"/>
          <w:rFonts w:ascii="Arial" w:eastAsia="Arial" w:hAnsi="Arial" w:cs="Arial"/>
          <w:sz w:val="22"/>
          <w:szCs w:val="22"/>
        </w:rPr>
        <w:footnoteReference w:id="134"/>
      </w:r>
      <w:r w:rsidRPr="47D51BD3">
        <w:rPr>
          <w:rFonts w:ascii="Arial" w:eastAsia="Arial" w:hAnsi="Arial" w:cs="Arial"/>
          <w:sz w:val="22"/>
          <w:szCs w:val="22"/>
        </w:rPr>
        <w:t xml:space="preserve"> Under this provision, a survivor who has been trafficked, but has received a negative decision that may later be overturned, faces losing protection, accommodation and support at very short notice, with limited practical ability to challenge the decision before that loss takes effect. This creates a real risk of destitution and homelessness for people later confirmed to be genuine </w:t>
      </w:r>
      <w:proofErr w:type="gramStart"/>
      <w:r w:rsidRPr="47D51BD3">
        <w:rPr>
          <w:rFonts w:ascii="Arial" w:eastAsia="Arial" w:hAnsi="Arial" w:cs="Arial"/>
          <w:sz w:val="22"/>
          <w:szCs w:val="22"/>
        </w:rPr>
        <w:t>victims, and</w:t>
      </w:r>
      <w:proofErr w:type="gramEnd"/>
      <w:r w:rsidRPr="47D51BD3">
        <w:rPr>
          <w:rFonts w:ascii="Arial" w:eastAsia="Arial" w:hAnsi="Arial" w:cs="Arial"/>
          <w:sz w:val="22"/>
          <w:szCs w:val="22"/>
        </w:rPr>
        <w:t xml:space="preserve"> increases their vulnerability to further exploitation and re-trafficking in the interim.</w:t>
      </w:r>
    </w:p>
    <w:p w14:paraId="1A6C9B30" w14:textId="26BDED4B"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 ability to challenge a negative conclusive grounds decision, whether by reconsideration or appeal, takes time, especially for an unrepresented survivor. Ending support on the day of the decision itself, rather than allowing a reasonable period for that decision to be tested, means the consequences of a wrong decision fall on the survivor immediately and in full, before any correction can take effect.</w:t>
      </w:r>
    </w:p>
    <w:p w14:paraId="7C8E14C8" w14:textId="1F094C49"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38: Disqualification from protection</w:t>
      </w:r>
    </w:p>
    <w:p w14:paraId="77393240" w14:textId="25533BAA" w:rsidR="00B72413" w:rsidRPr="009908E8" w:rsidRDefault="0C423D3A" w:rsidP="00F33CDC">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This clause restructures the existing public order disqualification (s.63) and introduces a new bad faith disqualification (s.63A). The two provisions treat children inconsistently. Under the new s.63(1A), a child is exempt from the public order disqualification only if they have a right of abode or leave to remain granted on a basis other than section 65, which is the very provision granting leave to confirmed victims of modern slavery. A child whose only immigration status arises from being a recognised trafficking victim is not exempt from this disqualification ground. By contrast, the bad faith disqualification under new s.63A(1)(b) exempts any person who was under 18 at the time of their claim, regardless of their immigration status.</w:t>
      </w:r>
    </w:p>
    <w:p w14:paraId="6D6A7519" w14:textId="7D301072"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Legal certainty requires that people in similar circumstances be treated consistently under the law, if there is no basis for distinguishing between them. Two disqualification grounds within the same clause, each capable of ending a child's protection and support, apply different and unexplained tests for which children are exempt. This is a drafting inconsistency that can and must be corrected, and Parliament should require an explanation for it before this clause is enacted in its current form.</w:t>
      </w:r>
    </w:p>
    <w:p w14:paraId="4C2D2B4D" w14:textId="1C39EF6D" w:rsidR="00AE7BF5" w:rsidRPr="009908E8" w:rsidRDefault="00AE7BF5" w:rsidP="00F33CDC">
      <w:pPr>
        <w:spacing w:after="0" w:line="276" w:lineRule="auto"/>
        <w:rPr>
          <w:rFonts w:ascii="Arial" w:eastAsia="Arial" w:hAnsi="Arial" w:cs="Arial"/>
          <w:sz w:val="22"/>
          <w:szCs w:val="22"/>
        </w:rPr>
      </w:pPr>
    </w:p>
    <w:p w14:paraId="342B5422" w14:textId="0F4BBF21"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39: Removal of duty to grant leave to remain to assist recovery</w:t>
      </w:r>
    </w:p>
    <w:p w14:paraId="59B721E4" w14:textId="202B5F71" w:rsidR="00AE7BF5" w:rsidRPr="009908E8" w:rsidRDefault="0C423D3A" w:rsidP="00F7017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Clause 39 would remove the existing duty under s.65 of the Nationality and Borders Act 2022 to grant a confirmed victim leave to remain where this is necessary to assist their recovery, deleting the relevant provisions rather than replacing them with an equivalent discretionary power tied to any published criteria.</w:t>
      </w:r>
      <w:r w:rsidR="00B72413" w:rsidRPr="47D51BD3">
        <w:rPr>
          <w:rStyle w:val="FootnoteReference"/>
          <w:rFonts w:ascii="Arial" w:eastAsia="Arial" w:hAnsi="Arial" w:cs="Arial"/>
          <w:sz w:val="22"/>
          <w:szCs w:val="22"/>
        </w:rPr>
        <w:footnoteReference w:id="135"/>
      </w:r>
    </w:p>
    <w:p w14:paraId="4B821647" w14:textId="48BCCDA9" w:rsidR="00AE7BF5" w:rsidRPr="009908E8" w:rsidRDefault="0C423D3A" w:rsidP="00F33CDC">
      <w:pPr>
        <w:numPr>
          <w:ilvl w:val="0"/>
          <w:numId w:val="3"/>
        </w:numPr>
        <w:spacing w:after="0" w:line="276" w:lineRule="auto"/>
        <w:ind w:hanging="578"/>
        <w:jc w:val="both"/>
        <w:rPr>
          <w:rFonts w:ascii="Arial" w:eastAsia="Arial" w:hAnsi="Arial" w:cs="Arial"/>
          <w:sz w:val="22"/>
          <w:szCs w:val="22"/>
        </w:rPr>
      </w:pPr>
      <w:r w:rsidRPr="47D51BD3">
        <w:rPr>
          <w:rFonts w:ascii="Arial" w:eastAsia="Arial" w:hAnsi="Arial" w:cs="Arial"/>
          <w:sz w:val="22"/>
          <w:szCs w:val="22"/>
        </w:rPr>
        <w:t>Secure immigration status is widely recognised as essential to a survivor's recovery and to preventing re-trafficking.</w:t>
      </w:r>
      <w:r w:rsidR="00B72413" w:rsidRPr="47D51BD3">
        <w:rPr>
          <w:rStyle w:val="FootnoteReference"/>
          <w:rFonts w:ascii="Arial" w:eastAsia="Arial" w:hAnsi="Arial" w:cs="Arial"/>
          <w:sz w:val="22"/>
          <w:szCs w:val="22"/>
        </w:rPr>
        <w:footnoteReference w:id="136"/>
      </w:r>
      <w:r w:rsidRPr="47D51BD3">
        <w:rPr>
          <w:rFonts w:ascii="Arial" w:eastAsia="Arial" w:hAnsi="Arial" w:cs="Arial"/>
          <w:sz w:val="22"/>
          <w:szCs w:val="22"/>
        </w:rPr>
        <w:t xml:space="preserve"> Grants of this leave are already rare: in 2024, only 4% of those eligible were granted it,</w:t>
      </w:r>
      <w:r w:rsidR="00B72413" w:rsidRPr="47D51BD3">
        <w:rPr>
          <w:rStyle w:val="FootnoteReference"/>
          <w:rFonts w:ascii="Arial" w:eastAsia="Arial" w:hAnsi="Arial" w:cs="Arial"/>
          <w:sz w:val="22"/>
          <w:szCs w:val="22"/>
        </w:rPr>
        <w:footnoteReference w:id="137"/>
      </w:r>
      <w:r w:rsidRPr="47D51BD3">
        <w:rPr>
          <w:rFonts w:ascii="Arial" w:eastAsia="Arial" w:hAnsi="Arial" w:cs="Arial"/>
          <w:sz w:val="22"/>
          <w:szCs w:val="22"/>
        </w:rPr>
        <w:t xml:space="preserve"> and 96% of those grants were specifically to assist recovery.</w:t>
      </w:r>
      <w:r w:rsidR="00B72413" w:rsidRPr="47D51BD3">
        <w:rPr>
          <w:rStyle w:val="FootnoteReference"/>
          <w:rFonts w:ascii="Arial" w:eastAsia="Arial" w:hAnsi="Arial" w:cs="Arial"/>
          <w:sz w:val="22"/>
          <w:szCs w:val="22"/>
        </w:rPr>
        <w:footnoteReference w:id="138"/>
      </w:r>
      <w:r w:rsidRPr="47D51BD3">
        <w:rPr>
          <w:rFonts w:ascii="Arial" w:eastAsia="Arial" w:hAnsi="Arial" w:cs="Arial"/>
          <w:sz w:val="22"/>
          <w:szCs w:val="22"/>
        </w:rPr>
        <w:t xml:space="preserve"> Grants are also typically short: over 40% were for less than 12 months.</w:t>
      </w:r>
      <w:r w:rsidR="00B72413" w:rsidRPr="47D51BD3">
        <w:rPr>
          <w:rStyle w:val="FootnoteReference"/>
          <w:rFonts w:ascii="Arial" w:eastAsia="Arial" w:hAnsi="Arial" w:cs="Arial"/>
          <w:sz w:val="22"/>
          <w:szCs w:val="22"/>
        </w:rPr>
        <w:footnoteReference w:id="139"/>
      </w:r>
      <w:r w:rsidRPr="47D51BD3">
        <w:rPr>
          <w:rFonts w:ascii="Arial" w:eastAsia="Arial" w:hAnsi="Arial" w:cs="Arial"/>
          <w:sz w:val="22"/>
          <w:szCs w:val="22"/>
        </w:rPr>
        <w:t xml:space="preserve"> Removing this duty entirely, rather than reforming its rare and narrow use, risks leaving survivors without the stability needed to cooperate with police investigations into their traffickers, undermining the prosecution of the underlying crime as well as the survivor's own recovery.</w:t>
      </w:r>
    </w:p>
    <w:p w14:paraId="54984DF9" w14:textId="098301C9" w:rsidR="00A37D69" w:rsidRPr="009908E8" w:rsidRDefault="0C423D3A" w:rsidP="00BE594D">
      <w:pPr>
        <w:numPr>
          <w:ilvl w:val="0"/>
          <w:numId w:val="3"/>
        </w:numPr>
        <w:spacing w:before="120" w:after="0" w:line="276" w:lineRule="auto"/>
        <w:ind w:hanging="578"/>
        <w:jc w:val="both"/>
        <w:rPr>
          <w:rFonts w:ascii="Arial" w:eastAsia="Arial" w:hAnsi="Arial" w:cs="Arial"/>
          <w:sz w:val="22"/>
          <w:szCs w:val="22"/>
        </w:rPr>
      </w:pPr>
      <w:r w:rsidRPr="47D51BD3">
        <w:rPr>
          <w:rFonts w:ascii="Arial" w:eastAsia="Arial" w:hAnsi="Arial" w:cs="Arial"/>
          <w:sz w:val="22"/>
          <w:szCs w:val="22"/>
        </w:rPr>
        <w:t>In terms of international obligations, Article 14</w:t>
      </w:r>
      <w:r w:rsidR="43510C8C" w:rsidRPr="47D51BD3">
        <w:rPr>
          <w:rFonts w:ascii="Arial" w:eastAsia="Arial" w:hAnsi="Arial" w:cs="Arial"/>
          <w:sz w:val="22"/>
          <w:szCs w:val="22"/>
        </w:rPr>
        <w:t xml:space="preserve"> ECAT</w:t>
      </w:r>
      <w:r w:rsidRPr="47D51BD3">
        <w:rPr>
          <w:rFonts w:ascii="Arial" w:eastAsia="Arial" w:hAnsi="Arial" w:cs="Arial"/>
          <w:sz w:val="22"/>
          <w:szCs w:val="22"/>
        </w:rPr>
        <w:t xml:space="preserve"> requires a renewable residence permit to be issued where a competent authority considers a victim's stay necessary because of their personal situation, or necessary for their cooperation with the authorities in an investigation or prosecution.</w:t>
      </w:r>
      <w:r w:rsidR="00B72413" w:rsidRPr="47D51BD3">
        <w:rPr>
          <w:rStyle w:val="FootnoteReference"/>
          <w:rFonts w:ascii="Arial" w:eastAsia="Arial" w:hAnsi="Arial" w:cs="Arial"/>
          <w:sz w:val="22"/>
          <w:szCs w:val="22"/>
        </w:rPr>
        <w:footnoteReference w:id="140"/>
      </w:r>
      <w:r w:rsidRPr="47D51BD3">
        <w:rPr>
          <w:rFonts w:ascii="Arial" w:eastAsia="Arial" w:hAnsi="Arial" w:cs="Arial"/>
          <w:sz w:val="22"/>
          <w:szCs w:val="22"/>
        </w:rPr>
        <w:t xml:space="preserve"> Removing the domestic duty that gives effect to this, without replacing it with </w:t>
      </w:r>
      <w:r w:rsidR="5B71C9D8" w:rsidRPr="47D51BD3">
        <w:rPr>
          <w:rFonts w:ascii="Arial" w:eastAsia="Arial" w:hAnsi="Arial" w:cs="Arial"/>
          <w:sz w:val="22"/>
          <w:szCs w:val="22"/>
        </w:rPr>
        <w:t>something similar</w:t>
      </w:r>
      <w:r w:rsidRPr="47D51BD3">
        <w:rPr>
          <w:rFonts w:ascii="Arial" w:eastAsia="Arial" w:hAnsi="Arial" w:cs="Arial"/>
          <w:sz w:val="22"/>
          <w:szCs w:val="22"/>
        </w:rPr>
        <w:t>, risks making the UK fall short of what ECAT requires in individual cases, even though the clause does not, on its face, wishes to withdraw from that obligation.</w:t>
      </w:r>
    </w:p>
    <w:p w14:paraId="43A53A3E" w14:textId="41A0D1BD" w:rsidR="00843540" w:rsidRPr="009908E8" w:rsidRDefault="0C423D3A" w:rsidP="00BE594D">
      <w:pPr>
        <w:numPr>
          <w:ilvl w:val="0"/>
          <w:numId w:val="3"/>
        </w:numPr>
        <w:spacing w:before="120" w:after="0" w:line="276" w:lineRule="auto"/>
        <w:ind w:hanging="578"/>
        <w:jc w:val="both"/>
        <w:rPr>
          <w:rFonts w:ascii="Arial" w:eastAsia="Arial" w:hAnsi="Arial" w:cs="Arial"/>
          <w:sz w:val="22"/>
          <w:szCs w:val="22"/>
        </w:rPr>
      </w:pPr>
      <w:r w:rsidRPr="47D51BD3">
        <w:rPr>
          <w:rFonts w:ascii="Arial" w:eastAsia="Arial" w:hAnsi="Arial" w:cs="Arial"/>
          <w:sz w:val="22"/>
          <w:szCs w:val="22"/>
        </w:rPr>
        <w:t>Article 14(2)</w:t>
      </w:r>
      <w:r w:rsidR="19513395" w:rsidRPr="47D51BD3">
        <w:rPr>
          <w:rFonts w:ascii="Arial" w:eastAsia="Arial" w:hAnsi="Arial" w:cs="Arial"/>
          <w:sz w:val="22"/>
          <w:szCs w:val="22"/>
        </w:rPr>
        <w:t xml:space="preserve"> ECAT</w:t>
      </w:r>
      <w:r w:rsidRPr="47D51BD3">
        <w:rPr>
          <w:rFonts w:ascii="Arial" w:eastAsia="Arial" w:hAnsi="Arial" w:cs="Arial"/>
          <w:sz w:val="22"/>
          <w:szCs w:val="22"/>
        </w:rPr>
        <w:t xml:space="preserve"> goes further for children specifically, stating that a child's residence permit must be issued in accordance with their best interests,</w:t>
      </w:r>
      <w:r w:rsidR="00B72413" w:rsidRPr="47D51BD3">
        <w:rPr>
          <w:rStyle w:val="FootnoteReference"/>
          <w:rFonts w:ascii="Arial" w:eastAsia="Arial" w:hAnsi="Arial" w:cs="Arial"/>
          <w:sz w:val="22"/>
          <w:szCs w:val="22"/>
        </w:rPr>
        <w:footnoteReference w:id="141"/>
      </w:r>
      <w:r w:rsidRPr="47D51BD3">
        <w:rPr>
          <w:rFonts w:ascii="Arial" w:eastAsia="Arial" w:hAnsi="Arial" w:cs="Arial"/>
          <w:sz w:val="22"/>
          <w:szCs w:val="22"/>
        </w:rPr>
        <w:t xml:space="preserve"> which its own Explanatory Report states take precedence over the personal-situation and cooperation requirements applied to adults</w:t>
      </w:r>
      <w:r w:rsidRPr="47D51BD3">
        <w:rPr>
          <w:rFonts w:ascii="Arial" w:eastAsia="Arial" w:hAnsi="Arial" w:cs="Arial"/>
          <w:color w:val="0D0D0D" w:themeColor="text1" w:themeTint="F2"/>
          <w:sz w:val="22"/>
          <w:szCs w:val="22"/>
        </w:rPr>
        <w:t>.</w:t>
      </w:r>
      <w:r w:rsidR="00B72413" w:rsidRPr="47D51BD3">
        <w:rPr>
          <w:rStyle w:val="FootnoteReference"/>
          <w:rFonts w:ascii="Arial" w:eastAsia="Arial" w:hAnsi="Arial" w:cs="Arial"/>
          <w:color w:val="0D0D0D" w:themeColor="text1" w:themeTint="F2"/>
          <w:sz w:val="22"/>
          <w:szCs w:val="22"/>
        </w:rPr>
        <w:footnoteReference w:id="142"/>
      </w:r>
      <w:r w:rsidRPr="47D51BD3">
        <w:rPr>
          <w:rFonts w:ascii="Arial" w:eastAsia="Arial" w:hAnsi="Arial" w:cs="Arial"/>
          <w:color w:val="0D0D0D" w:themeColor="text1" w:themeTint="F2"/>
          <w:sz w:val="22"/>
          <w:szCs w:val="22"/>
        </w:rPr>
        <w:t xml:space="preserve"> </w:t>
      </w:r>
      <w:r w:rsidRPr="47D51BD3">
        <w:rPr>
          <w:rFonts w:ascii="Arial" w:eastAsia="Arial" w:hAnsi="Arial" w:cs="Arial"/>
          <w:sz w:val="22"/>
          <w:szCs w:val="22"/>
        </w:rPr>
        <w:t>Removing the leave-to-remain duty entirely, with no distinct provision for children, sits in tension with this child-specific obligation.</w:t>
      </w:r>
    </w:p>
    <w:p w14:paraId="4BECA120" w14:textId="44C68B77" w:rsidR="00843540" w:rsidRPr="009908E8" w:rsidRDefault="00843540" w:rsidP="00843540">
      <w:pPr>
        <w:tabs>
          <w:tab w:val="num" w:pos="720"/>
        </w:tabs>
        <w:spacing w:after="0" w:line="276" w:lineRule="auto"/>
        <w:rPr>
          <w:rFonts w:ascii="Arial" w:eastAsia="Arial" w:hAnsi="Arial" w:cs="Arial"/>
          <w:sz w:val="22"/>
          <w:szCs w:val="22"/>
        </w:rPr>
      </w:pPr>
    </w:p>
    <w:p w14:paraId="44733694" w14:textId="4FB9A668" w:rsidR="00B72413" w:rsidRPr="009908E8" w:rsidRDefault="0C423D3A" w:rsidP="1B9E9B8D">
      <w:pPr>
        <w:spacing w:after="0" w:line="276" w:lineRule="auto"/>
        <w:rPr>
          <w:rFonts w:ascii="Arial" w:eastAsia="Arial" w:hAnsi="Arial" w:cs="Arial"/>
          <w:b/>
          <w:color w:val="404A68"/>
          <w:sz w:val="22"/>
          <w:szCs w:val="22"/>
        </w:rPr>
      </w:pPr>
      <w:r w:rsidRPr="47D51BD3">
        <w:rPr>
          <w:rFonts w:ascii="Arial" w:eastAsia="Arial" w:hAnsi="Arial" w:cs="Arial"/>
          <w:b/>
          <w:color w:val="404A68"/>
          <w:sz w:val="22"/>
          <w:szCs w:val="22"/>
        </w:rPr>
        <w:t>Clauses 40-42: Independent Child Trafficking Guardians</w:t>
      </w:r>
    </w:p>
    <w:p w14:paraId="256EC2B5" w14:textId="7DA558D9" w:rsidR="00843540" w:rsidRPr="009908E8" w:rsidRDefault="00843540" w:rsidP="00843540">
      <w:pPr>
        <w:spacing w:after="0" w:line="276" w:lineRule="auto"/>
        <w:rPr>
          <w:rFonts w:ascii="Arial" w:eastAsia="Arial" w:hAnsi="Arial" w:cs="Arial"/>
          <w:sz w:val="22"/>
          <w:szCs w:val="22"/>
        </w:rPr>
      </w:pPr>
    </w:p>
    <w:p w14:paraId="46B05321" w14:textId="5E84579C"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These clauses rename independent child trafficking advocates as independent child trafficking guardians and make some changes to their functions, including a duty on relevant authorities to involve the guardian in discussions and decisions relating to the child.</w:t>
      </w:r>
    </w:p>
    <w:p w14:paraId="0BC71BD1" w14:textId="7C4FBD36" w:rsidR="00B72413" w:rsidRPr="009908E8" w:rsidRDefault="0C423D3A" w:rsidP="0025402D">
      <w:pPr>
        <w:numPr>
          <w:ilvl w:val="0"/>
          <w:numId w:val="3"/>
        </w:numPr>
        <w:tabs>
          <w:tab w:val="num" w:pos="720"/>
        </w:tabs>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While the Bill makes some specific changes to the role of these guardians, it is hard to see how these changes will improve the identification and support of child trafficking victims in practice. We are concerned that there is no meaningful commitment in this Bill to a comprehensive child exploitation strategy and that there is no Child Impact Assessment accompanying the Bill, which Parliament should request as soon as possible. </w:t>
      </w:r>
    </w:p>
    <w:p w14:paraId="2359F82B" w14:textId="223E89E9" w:rsidR="00AE7BF5" w:rsidRPr="009908E8" w:rsidRDefault="00AE7BF5" w:rsidP="00F33CDC">
      <w:pPr>
        <w:spacing w:after="0" w:line="276" w:lineRule="auto"/>
        <w:rPr>
          <w:rFonts w:ascii="Arial" w:eastAsia="Arial" w:hAnsi="Arial" w:cs="Arial"/>
          <w:sz w:val="22"/>
          <w:szCs w:val="22"/>
        </w:rPr>
      </w:pPr>
    </w:p>
    <w:p w14:paraId="65634D5D" w14:textId="44A2C53E" w:rsidR="00B72413" w:rsidRPr="009908E8" w:rsidRDefault="0C423D3A"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t>Clause 43: Assistance and support for potential victims</w:t>
      </w:r>
    </w:p>
    <w:p w14:paraId="2D9BE3E5" w14:textId="72508C5F"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New s.50A(2A) of the Modern Slavery Act 2015 would give the Secretary of State a power to override an authorised person's professional assessment that assistance and support is necessary for a potential victim. New s.50A(4A) confirms this override power does not apply in relation to a child. </w:t>
      </w:r>
    </w:p>
    <w:p w14:paraId="0C8022C2" w14:textId="2B8636FC" w:rsidR="00B72413" w:rsidRPr="009908E8" w:rsidRDefault="0C423D3A" w:rsidP="0025402D">
      <w:pPr>
        <w:numPr>
          <w:ilvl w:val="0"/>
          <w:numId w:val="3"/>
        </w:numPr>
        <w:spacing w:line="276" w:lineRule="auto"/>
        <w:ind w:hanging="578"/>
        <w:jc w:val="both"/>
        <w:rPr>
          <w:rFonts w:ascii="Arial" w:eastAsia="Arial" w:hAnsi="Arial" w:cs="Arial"/>
          <w:sz w:val="22"/>
          <w:szCs w:val="22"/>
        </w:rPr>
      </w:pPr>
      <w:r w:rsidRPr="47D51BD3">
        <w:rPr>
          <w:rFonts w:ascii="Arial" w:eastAsia="Arial" w:hAnsi="Arial" w:cs="Arial"/>
          <w:sz w:val="22"/>
          <w:szCs w:val="22"/>
        </w:rPr>
        <w:t>For adults, however, this creates a route for a decision made by someone with direct experience of a survivor's case to be set aside by the Secretary of State. New s.50A(5ZA) further allows support to be withheld where a person's own conduct caused them to lose eligibility, unless the Secretary of State is satisfied that conduct is not attributable to the harm arising from their exploitation, a discretionary power without published criteria for how it will be exercised.</w:t>
      </w:r>
    </w:p>
    <w:p w14:paraId="2AC21B29" w14:textId="6630915A" w:rsidR="00B72413" w:rsidRPr="009908E8" w:rsidRDefault="0C423D3A" w:rsidP="0025402D">
      <w:pPr>
        <w:numPr>
          <w:ilvl w:val="0"/>
          <w:numId w:val="3"/>
        </w:numPr>
        <w:tabs>
          <w:tab w:val="num" w:pos="720"/>
        </w:tabs>
        <w:spacing w:line="276" w:lineRule="auto"/>
        <w:ind w:hanging="578"/>
        <w:jc w:val="both"/>
        <w:rPr>
          <w:rFonts w:ascii="Arial" w:eastAsia="Arial" w:hAnsi="Arial" w:cs="Arial"/>
          <w:sz w:val="22"/>
          <w:szCs w:val="22"/>
        </w:rPr>
      </w:pPr>
      <w:r w:rsidRPr="47D51BD3">
        <w:rPr>
          <w:rFonts w:ascii="Arial" w:eastAsia="Arial" w:hAnsi="Arial" w:cs="Arial"/>
          <w:sz w:val="22"/>
          <w:szCs w:val="22"/>
        </w:rPr>
        <w:t xml:space="preserve">An override power that can be exercised without published criteria for when it will be used, creates uncertainty for both survivors and support providers, and removes the value of having an expert, case-specific assessment if that assessment can be displaced by the Secretary of State for reasons the Bill does not explain. </w:t>
      </w:r>
    </w:p>
    <w:p w14:paraId="130B63E6" w14:textId="37C0EBEE" w:rsidR="00051794" w:rsidRPr="009908E8" w:rsidRDefault="0603F9AF" w:rsidP="00F33CDC">
      <w:pPr>
        <w:spacing w:line="276" w:lineRule="auto"/>
        <w:rPr>
          <w:rFonts w:ascii="Arial" w:eastAsia="Arial" w:hAnsi="Arial" w:cs="Arial"/>
          <w:color w:val="404A68"/>
          <w:sz w:val="22"/>
          <w:szCs w:val="22"/>
        </w:rPr>
      </w:pPr>
      <w:r w:rsidRPr="47D51BD3">
        <w:rPr>
          <w:rFonts w:ascii="Arial" w:eastAsia="Arial" w:hAnsi="Arial" w:cs="Arial"/>
          <w:sz w:val="22"/>
          <w:szCs w:val="22"/>
        </w:rPr>
        <w:t xml:space="preserve"> </w:t>
      </w:r>
    </w:p>
    <w:p w14:paraId="516D22D7" w14:textId="24292B5E" w:rsidR="39CD1284" w:rsidRPr="009908E8" w:rsidRDefault="39CD1284" w:rsidP="1B9E9B8D">
      <w:pPr>
        <w:spacing w:line="276" w:lineRule="auto"/>
        <w:rPr>
          <w:rFonts w:ascii="Arial" w:eastAsia="Arial" w:hAnsi="Arial" w:cs="Arial"/>
          <w:b/>
          <w:color w:val="404A68"/>
          <w:sz w:val="22"/>
          <w:szCs w:val="22"/>
        </w:rPr>
      </w:pPr>
    </w:p>
    <w:p w14:paraId="09D10708" w14:textId="65328B0F" w:rsidR="00CC0363" w:rsidRPr="009908E8" w:rsidRDefault="00CC0363" w:rsidP="1B9E9B8D">
      <w:pPr>
        <w:spacing w:line="276" w:lineRule="auto"/>
        <w:rPr>
          <w:rFonts w:ascii="Arial" w:eastAsia="Arial" w:hAnsi="Arial" w:cs="Arial"/>
          <w:b/>
          <w:color w:val="404A68"/>
          <w:sz w:val="22"/>
          <w:szCs w:val="22"/>
        </w:rPr>
      </w:pPr>
    </w:p>
    <w:p w14:paraId="3F8FCE88" w14:textId="4F9A115F" w:rsidR="00CC0363" w:rsidRPr="009908E8" w:rsidRDefault="00CC0363" w:rsidP="1B9E9B8D">
      <w:pPr>
        <w:spacing w:line="276" w:lineRule="auto"/>
        <w:rPr>
          <w:rFonts w:ascii="Arial" w:eastAsia="Arial" w:hAnsi="Arial" w:cs="Arial"/>
          <w:b/>
          <w:color w:val="404A68"/>
          <w:sz w:val="22"/>
          <w:szCs w:val="22"/>
        </w:rPr>
      </w:pPr>
    </w:p>
    <w:p w14:paraId="4331736C" w14:textId="148446F5" w:rsidR="00051794" w:rsidRPr="009908E8" w:rsidRDefault="00B805C3" w:rsidP="1B9E9B8D">
      <w:pPr>
        <w:spacing w:line="276" w:lineRule="auto"/>
        <w:rPr>
          <w:rFonts w:ascii="Arial" w:eastAsia="Arial" w:hAnsi="Arial" w:cs="Arial"/>
          <w:b/>
          <w:color w:val="404A68"/>
          <w:sz w:val="22"/>
          <w:szCs w:val="22"/>
        </w:rPr>
      </w:pPr>
      <w:r w:rsidRPr="47D51BD3">
        <w:rPr>
          <w:rFonts w:ascii="Arial" w:eastAsia="Arial" w:hAnsi="Arial" w:cs="Arial"/>
          <w:b/>
          <w:color w:val="404A68"/>
          <w:sz w:val="22"/>
          <w:szCs w:val="22"/>
        </w:rPr>
        <w:br w:type="column"/>
      </w:r>
      <w:r w:rsidR="71A6BF0C" w:rsidRPr="47D51BD3">
        <w:rPr>
          <w:rFonts w:ascii="Arial" w:eastAsia="Arial" w:hAnsi="Arial" w:cs="Arial"/>
          <w:b/>
          <w:color w:val="404A68"/>
          <w:sz w:val="22"/>
          <w:szCs w:val="22"/>
        </w:rPr>
        <w:t xml:space="preserve">Annex 1 </w:t>
      </w:r>
      <w:r w:rsidR="4FB7B908" w:rsidRPr="47D51BD3">
        <w:rPr>
          <w:rFonts w:ascii="Arial" w:eastAsia="Arial" w:hAnsi="Arial" w:cs="Arial"/>
          <w:b/>
          <w:color w:val="404A68"/>
          <w:sz w:val="22"/>
          <w:szCs w:val="22"/>
        </w:rPr>
        <w:t xml:space="preserve">Scenario-based examples on </w:t>
      </w:r>
      <w:r w:rsidR="7AA8285F" w:rsidRPr="47D51BD3">
        <w:rPr>
          <w:rFonts w:ascii="Arial" w:eastAsia="Arial" w:hAnsi="Arial" w:cs="Arial"/>
          <w:b/>
          <w:color w:val="404A68"/>
          <w:sz w:val="22"/>
          <w:szCs w:val="22"/>
        </w:rPr>
        <w:t xml:space="preserve">Part 2 Article 8 </w:t>
      </w:r>
    </w:p>
    <w:p w14:paraId="5B25C74E" w14:textId="6E03DE19" w:rsidR="00051794" w:rsidRPr="009908E8" w:rsidRDefault="4FB7B908" w:rsidP="00F33CDC">
      <w:pPr>
        <w:pStyle w:val="font-claude-response-body"/>
        <w:spacing w:line="276" w:lineRule="auto"/>
        <w:rPr>
          <w:rFonts w:ascii="Arial" w:eastAsia="Arial" w:hAnsi="Arial" w:cs="Arial"/>
          <w:color w:val="404A68"/>
          <w:sz w:val="22"/>
          <w:szCs w:val="22"/>
        </w:rPr>
      </w:pPr>
      <w:r w:rsidRPr="47D51BD3">
        <w:rPr>
          <w:rStyle w:val="Strong"/>
          <w:rFonts w:ascii="Arial" w:eastAsia="Arial" w:hAnsi="Arial" w:cs="Arial"/>
          <w:color w:val="404A68"/>
          <w:sz w:val="22"/>
          <w:szCs w:val="22"/>
        </w:rPr>
        <w:t>Scenario A: A refugee unable to meet the Appendix FM income threshold</w:t>
      </w:r>
    </w:p>
    <w:p w14:paraId="535BE9B4" w14:textId="6FE71377" w:rsidR="00051794" w:rsidRPr="009908E8" w:rsidRDefault="4FB7B908" w:rsidP="00977EA1">
      <w:pPr>
        <w:pStyle w:val="font-claude-response-body"/>
        <w:spacing w:line="276" w:lineRule="auto"/>
        <w:jc w:val="both"/>
        <w:rPr>
          <w:rFonts w:ascii="Arial" w:eastAsia="Arial" w:hAnsi="Arial" w:cs="Arial"/>
          <w:sz w:val="22"/>
          <w:szCs w:val="22"/>
        </w:rPr>
      </w:pPr>
      <w:r w:rsidRPr="47D51BD3">
        <w:rPr>
          <w:rFonts w:ascii="Arial" w:eastAsia="Arial" w:hAnsi="Arial" w:cs="Arial"/>
          <w:sz w:val="22"/>
          <w:szCs w:val="22"/>
        </w:rPr>
        <w:t xml:space="preserve">A person recognised as a refugee wants to bring their spouse to the UK. The dedicated family reunion route, which required no minimum income, has been suspended since September 2025. The only remaining formal route is Appendix FM, which requires a minimum sponsor income of approximately £29,000, a level most newly recognised refugees, still establishing themselves in the UK and often in the early stages of employment, cannot meet. </w:t>
      </w:r>
      <w:r w:rsidR="32D1BCB2" w:rsidRPr="47D51BD3">
        <w:rPr>
          <w:rFonts w:ascii="Arial" w:eastAsia="Arial" w:hAnsi="Arial" w:cs="Arial"/>
          <w:sz w:val="22"/>
          <w:szCs w:val="22"/>
        </w:rPr>
        <w:t>One</w:t>
      </w:r>
      <w:r w:rsidRPr="47D51BD3">
        <w:rPr>
          <w:rFonts w:ascii="Arial" w:eastAsia="Arial" w:hAnsi="Arial" w:cs="Arial"/>
          <w:sz w:val="22"/>
          <w:szCs w:val="22"/>
        </w:rPr>
        <w:t xml:space="preserve"> realistic option is to bring an Article 8 claim instead, now possible directly under </w:t>
      </w:r>
      <w:r w:rsidR="7F33BC6E" w:rsidRPr="47D51BD3">
        <w:rPr>
          <w:rFonts w:ascii="Arial" w:eastAsia="Arial" w:hAnsi="Arial" w:cs="Arial"/>
          <w:sz w:val="22"/>
          <w:szCs w:val="22"/>
        </w:rPr>
        <w:t>Clause</w:t>
      </w:r>
      <w:r w:rsidRPr="47D51BD3">
        <w:rPr>
          <w:rFonts w:ascii="Arial" w:eastAsia="Arial" w:hAnsi="Arial" w:cs="Arial"/>
          <w:sz w:val="22"/>
          <w:szCs w:val="22"/>
        </w:rPr>
        <w:t xml:space="preserve"> 17's new sponsor claim provision. But that claim must first clear </w:t>
      </w:r>
      <w:r w:rsidR="27EB0468" w:rsidRPr="47D51BD3">
        <w:rPr>
          <w:rFonts w:ascii="Arial" w:eastAsia="Arial" w:hAnsi="Arial" w:cs="Arial"/>
          <w:sz w:val="22"/>
          <w:szCs w:val="22"/>
        </w:rPr>
        <w:t>Clause</w:t>
      </w:r>
      <w:r w:rsidRPr="47D51BD3">
        <w:rPr>
          <w:rFonts w:ascii="Arial" w:eastAsia="Arial" w:hAnsi="Arial" w:cs="Arial"/>
          <w:sz w:val="22"/>
          <w:szCs w:val="22"/>
        </w:rPr>
        <w:t xml:space="preserve"> 18's gateway test. If the couple's relationship rests substantially on financial support and emotional closeness, the claim may fail at this first stage.</w:t>
      </w:r>
      <w:r w:rsidR="00E57542" w:rsidRPr="00E57542">
        <w:rPr>
          <w:rFonts w:asciiTheme="minorHAnsi" w:eastAsiaTheme="minorHAnsi" w:hAnsiTheme="minorHAnsi" w:cstheme="minorBidi"/>
          <w:kern w:val="2"/>
          <w:lang w:eastAsia="en-US"/>
          <w14:ligatures w14:val="standardContextual"/>
        </w:rPr>
        <w:t xml:space="preserve"> </w:t>
      </w:r>
      <w:r w:rsidR="00E57542" w:rsidRPr="00E57542">
        <w:rPr>
          <w:rFonts w:ascii="Arial" w:eastAsia="Arial" w:hAnsi="Arial" w:cs="Arial"/>
          <w:sz w:val="22"/>
          <w:szCs w:val="22"/>
        </w:rPr>
        <w:t>Both factors are excluded from counting on their own under s.117</w:t>
      </w:r>
      <w:proofErr w:type="gramStart"/>
      <w:r w:rsidR="00E57542" w:rsidRPr="00E57542">
        <w:rPr>
          <w:rFonts w:ascii="Arial" w:eastAsia="Arial" w:hAnsi="Arial" w:cs="Arial"/>
          <w:sz w:val="22"/>
          <w:szCs w:val="22"/>
        </w:rPr>
        <w:t>AA(</w:t>
      </w:r>
      <w:proofErr w:type="gramEnd"/>
      <w:r w:rsidR="00E57542" w:rsidRPr="00E57542">
        <w:rPr>
          <w:rFonts w:ascii="Arial" w:eastAsia="Arial" w:hAnsi="Arial" w:cs="Arial"/>
          <w:sz w:val="22"/>
          <w:szCs w:val="22"/>
        </w:rPr>
        <w:t xml:space="preserve">5). It is not clear whether Clause 18 permits them to be combined to establish that family life </w:t>
      </w:r>
      <w:proofErr w:type="gramStart"/>
      <w:r w:rsidR="00E57542" w:rsidRPr="00E57542">
        <w:rPr>
          <w:rFonts w:ascii="Arial" w:eastAsia="Arial" w:hAnsi="Arial" w:cs="Arial"/>
          <w:sz w:val="22"/>
          <w:szCs w:val="22"/>
        </w:rPr>
        <w:t>exists, or</w:t>
      </w:r>
      <w:proofErr w:type="gramEnd"/>
      <w:r w:rsidR="00E57542" w:rsidRPr="00E57542">
        <w:rPr>
          <w:rFonts w:ascii="Arial" w:eastAsia="Arial" w:hAnsi="Arial" w:cs="Arial"/>
          <w:sz w:val="22"/>
          <w:szCs w:val="22"/>
        </w:rPr>
        <w:t xml:space="preserve"> confines their combination to the later question of whether removal would be fair, under s.117</w:t>
      </w:r>
      <w:proofErr w:type="gramStart"/>
      <w:r w:rsidR="00E57542" w:rsidRPr="00E57542">
        <w:rPr>
          <w:rFonts w:ascii="Arial" w:eastAsia="Arial" w:hAnsi="Arial" w:cs="Arial"/>
          <w:sz w:val="22"/>
          <w:szCs w:val="22"/>
        </w:rPr>
        <w:t>AA(</w:t>
      </w:r>
      <w:proofErr w:type="gramEnd"/>
      <w:r w:rsidR="00E57542" w:rsidRPr="00E57542">
        <w:rPr>
          <w:rFonts w:ascii="Arial" w:eastAsia="Arial" w:hAnsi="Arial" w:cs="Arial"/>
          <w:sz w:val="22"/>
          <w:szCs w:val="22"/>
        </w:rPr>
        <w:t>6)</w:t>
      </w:r>
      <w:r w:rsidRPr="47D51BD3">
        <w:rPr>
          <w:rFonts w:ascii="Arial" w:eastAsia="Arial" w:hAnsi="Arial" w:cs="Arial"/>
          <w:sz w:val="22"/>
          <w:szCs w:val="22"/>
        </w:rPr>
        <w:t>. The refugee is left with no affordable route through the Immigration Rules and a narrower legal test than existed before this Bill for the route that remains. The longer it takes for a Sponsor to meet the financial requirements, the more likely the decision maker is to question the emotional closeness of the relationship, given the passage of time.</w:t>
      </w:r>
    </w:p>
    <w:p w14:paraId="08218D97" w14:textId="0AF4E918" w:rsidR="00051794" w:rsidRPr="009908E8" w:rsidRDefault="4FB7B908" w:rsidP="00F33CDC">
      <w:pPr>
        <w:pStyle w:val="font-claude-response-body"/>
        <w:spacing w:line="276" w:lineRule="auto"/>
        <w:rPr>
          <w:rFonts w:ascii="Arial" w:eastAsia="Arial" w:hAnsi="Arial" w:cs="Arial"/>
          <w:color w:val="404A68"/>
          <w:sz w:val="22"/>
          <w:szCs w:val="22"/>
        </w:rPr>
      </w:pPr>
      <w:r w:rsidRPr="47D51BD3">
        <w:rPr>
          <w:rStyle w:val="Strong"/>
          <w:rFonts w:ascii="Arial" w:eastAsia="Arial" w:hAnsi="Arial" w:cs="Arial"/>
          <w:color w:val="404A68"/>
          <w:sz w:val="22"/>
          <w:szCs w:val="22"/>
        </w:rPr>
        <w:t>Scenario B: A nurse or PhD student building a lawful family life</w:t>
      </w:r>
    </w:p>
    <w:p w14:paraId="0A417C40" w14:textId="7ECC6039" w:rsidR="00051794" w:rsidRPr="009908E8" w:rsidRDefault="4FB7B908" w:rsidP="00977EA1">
      <w:pPr>
        <w:pStyle w:val="font-claude-response-body"/>
        <w:spacing w:line="276" w:lineRule="auto"/>
        <w:jc w:val="both"/>
        <w:rPr>
          <w:rFonts w:ascii="Arial" w:eastAsia="Arial" w:hAnsi="Arial" w:cs="Arial"/>
          <w:sz w:val="22"/>
          <w:szCs w:val="22"/>
        </w:rPr>
      </w:pPr>
      <w:r w:rsidRPr="47D51BD3">
        <w:rPr>
          <w:rFonts w:ascii="Arial" w:eastAsia="Arial" w:hAnsi="Arial" w:cs="Arial"/>
          <w:sz w:val="22"/>
          <w:szCs w:val="22"/>
        </w:rPr>
        <w:t xml:space="preserve">A nurse arrives on a Health and Care Worker visa, or a student arrives to complete a PhD. Both are entirely lawful routes, sponsored and compliant with the Immigration Rules throughout. During their time in the UK, one </w:t>
      </w:r>
      <w:r w:rsidR="65EDEEB3" w:rsidRPr="47D51BD3">
        <w:rPr>
          <w:rFonts w:ascii="Arial" w:eastAsia="Arial" w:hAnsi="Arial" w:cs="Arial"/>
          <w:sz w:val="22"/>
          <w:szCs w:val="22"/>
        </w:rPr>
        <w:t>get</w:t>
      </w:r>
      <w:r w:rsidR="4DB9A33C" w:rsidRPr="47D51BD3">
        <w:rPr>
          <w:rFonts w:ascii="Arial" w:eastAsia="Arial" w:hAnsi="Arial" w:cs="Arial"/>
          <w:sz w:val="22"/>
          <w:szCs w:val="22"/>
        </w:rPr>
        <w:t>s</w:t>
      </w:r>
      <w:r w:rsidR="65EDEEB3" w:rsidRPr="47D51BD3">
        <w:rPr>
          <w:rFonts w:ascii="Arial" w:eastAsia="Arial" w:hAnsi="Arial" w:cs="Arial"/>
          <w:sz w:val="22"/>
          <w:szCs w:val="22"/>
        </w:rPr>
        <w:t xml:space="preserve"> married</w:t>
      </w:r>
      <w:r w:rsidRPr="47D51BD3">
        <w:rPr>
          <w:rFonts w:ascii="Arial" w:eastAsia="Arial" w:hAnsi="Arial" w:cs="Arial"/>
          <w:sz w:val="22"/>
          <w:szCs w:val="22"/>
        </w:rPr>
        <w:t xml:space="preserve"> and has a child, the other </w:t>
      </w:r>
      <w:r w:rsidR="649C0AE3" w:rsidRPr="47D51BD3">
        <w:rPr>
          <w:rFonts w:ascii="Arial" w:eastAsia="Arial" w:hAnsi="Arial" w:cs="Arial"/>
          <w:sz w:val="22"/>
          <w:szCs w:val="22"/>
        </w:rPr>
        <w:t>starts</w:t>
      </w:r>
      <w:r w:rsidRPr="47D51BD3">
        <w:rPr>
          <w:rFonts w:ascii="Arial" w:eastAsia="Arial" w:hAnsi="Arial" w:cs="Arial"/>
          <w:sz w:val="22"/>
          <w:szCs w:val="22"/>
        </w:rPr>
        <w:t xml:space="preserve"> a relationship that leads to marriage. Neither has done anything unlawful, and neither is close to qualifying for settlement, which under Earned Settlement's proposed reforms would now take ten years rather than five. Under s.19(5), their family life, formed entirely lawfully while their status remained "precarious," now counts for only little weight in any future decision engaging Article 8, a rule that previously applied only to private life and is now extended to family life for the first time. Should either person's visa later be curtailed, for example following redundancy or a change in course, and they need to rely on Article 8 to remain with their family, the relationship they built in good faith while working or studying lawfully in the UK now weighs less in their favour than it would have before this Bill.</w:t>
      </w:r>
    </w:p>
    <w:p w14:paraId="0D48650A" w14:textId="040F02E0" w:rsidR="00051794" w:rsidRPr="009908E8" w:rsidRDefault="4FB7B908" w:rsidP="00F33CDC">
      <w:pPr>
        <w:pStyle w:val="font-claude-response-body"/>
        <w:spacing w:line="276" w:lineRule="auto"/>
        <w:rPr>
          <w:rFonts w:ascii="Arial" w:eastAsia="Arial" w:hAnsi="Arial" w:cs="Arial"/>
          <w:color w:val="404A68"/>
          <w:sz w:val="22"/>
          <w:szCs w:val="22"/>
        </w:rPr>
      </w:pPr>
      <w:r w:rsidRPr="47D51BD3">
        <w:rPr>
          <w:rStyle w:val="Strong"/>
          <w:rFonts w:ascii="Arial" w:eastAsia="Arial" w:hAnsi="Arial" w:cs="Arial"/>
          <w:color w:val="404A68"/>
          <w:sz w:val="22"/>
          <w:szCs w:val="22"/>
        </w:rPr>
        <w:t>Scenario C: A refugee father, separated from his child's mother, wanting to bring his child to the UK</w:t>
      </w:r>
    </w:p>
    <w:p w14:paraId="2D58F68B" w14:textId="68672F28" w:rsidR="00051794" w:rsidRPr="009908E8" w:rsidRDefault="4FB7B908" w:rsidP="00977EA1">
      <w:pPr>
        <w:pStyle w:val="font-claude-response-body"/>
        <w:spacing w:line="276" w:lineRule="auto"/>
        <w:jc w:val="both"/>
        <w:rPr>
          <w:rFonts w:ascii="Arial" w:eastAsia="Arial" w:hAnsi="Arial" w:cs="Arial"/>
          <w:sz w:val="22"/>
          <w:szCs w:val="22"/>
        </w:rPr>
      </w:pPr>
      <w:r w:rsidRPr="47D51BD3">
        <w:rPr>
          <w:rFonts w:ascii="Arial" w:eastAsia="Arial" w:hAnsi="Arial" w:cs="Arial"/>
          <w:sz w:val="22"/>
          <w:szCs w:val="22"/>
        </w:rPr>
        <w:t>Before fleeing, a father was separated from his child's mother. The child lived with the mother; the father did not live with the child, though he remained involved, seeing the child regularly and contributing to their upbringing. He then had to flee and claim asylum and is now recognised as a refugee in the UK, wanting his child to join him. Because he did not "ordinarily live with" his child even before he fled, s.117AA(2)(b)'s automatic presumption of family life, the one that applies where a parent lives with their child, does not apply to him. His relationship instead falls to be assessed under s.117</w:t>
      </w:r>
      <w:proofErr w:type="gramStart"/>
      <w:r w:rsidRPr="47D51BD3">
        <w:rPr>
          <w:rFonts w:ascii="Arial" w:eastAsia="Arial" w:hAnsi="Arial" w:cs="Arial"/>
          <w:sz w:val="22"/>
          <w:szCs w:val="22"/>
        </w:rPr>
        <w:t>AA(</w:t>
      </w:r>
      <w:proofErr w:type="gramEnd"/>
      <w:r w:rsidR="4CCC179E" w:rsidRPr="47D51BD3">
        <w:rPr>
          <w:rFonts w:ascii="Arial" w:eastAsia="Arial" w:hAnsi="Arial" w:cs="Arial"/>
          <w:sz w:val="22"/>
          <w:szCs w:val="22"/>
        </w:rPr>
        <w:t>5</w:t>
      </w:r>
      <w:r w:rsidRPr="47D51BD3">
        <w:rPr>
          <w:rFonts w:ascii="Arial" w:eastAsia="Arial" w:hAnsi="Arial" w:cs="Arial"/>
          <w:sz w:val="22"/>
          <w:szCs w:val="22"/>
        </w:rPr>
        <w:t>), which requires him to demonstrate a "genuine and subsisting parental relationship"</w:t>
      </w:r>
      <w:r w:rsidR="22CDB701" w:rsidRPr="47D51BD3">
        <w:rPr>
          <w:rFonts w:ascii="Arial" w:eastAsia="Arial" w:hAnsi="Arial" w:cs="Arial"/>
          <w:sz w:val="22"/>
          <w:szCs w:val="22"/>
        </w:rPr>
        <w:t>.</w:t>
      </w:r>
      <w:r w:rsidRPr="47D51BD3">
        <w:rPr>
          <w:rFonts w:ascii="Arial" w:eastAsia="Arial" w:hAnsi="Arial" w:cs="Arial"/>
          <w:sz w:val="22"/>
          <w:szCs w:val="22"/>
        </w:rPr>
        <w:t xml:space="preserve"> With the dedicated family reunion route suspended, and Appendix FM's financial requirements unrealistic for a newly recognised refugee, Article 8 is his only realistic route to bring his child to the UK, and on that </w:t>
      </w:r>
      <w:proofErr w:type="gramStart"/>
      <w:r w:rsidRPr="47D51BD3">
        <w:rPr>
          <w:rFonts w:ascii="Arial" w:eastAsia="Arial" w:hAnsi="Arial" w:cs="Arial"/>
          <w:sz w:val="22"/>
          <w:szCs w:val="22"/>
        </w:rPr>
        <w:t>route</w:t>
      </w:r>
      <w:proofErr w:type="gramEnd"/>
      <w:r w:rsidRPr="47D51BD3">
        <w:rPr>
          <w:rFonts w:ascii="Arial" w:eastAsia="Arial" w:hAnsi="Arial" w:cs="Arial"/>
          <w:sz w:val="22"/>
          <w:szCs w:val="22"/>
        </w:rPr>
        <w:t xml:space="preserve"> he starts from a weaker legal position than a parent who happened to live with their child, regardless of how genuinely involved he has actually been in his child's life.</w:t>
      </w:r>
    </w:p>
    <w:p w14:paraId="48F6F808" w14:textId="348154A0" w:rsidR="00051794" w:rsidRPr="009908E8" w:rsidRDefault="4FB7B908" w:rsidP="00F33CDC">
      <w:pPr>
        <w:pStyle w:val="font-claude-response-body"/>
        <w:spacing w:line="276" w:lineRule="auto"/>
        <w:rPr>
          <w:rFonts w:ascii="Arial" w:eastAsia="Arial" w:hAnsi="Arial" w:cs="Arial"/>
          <w:color w:val="404A68"/>
          <w:sz w:val="22"/>
          <w:szCs w:val="22"/>
        </w:rPr>
      </w:pPr>
      <w:r w:rsidRPr="47D51BD3">
        <w:rPr>
          <w:rStyle w:val="Strong"/>
          <w:rFonts w:ascii="Arial" w:eastAsia="Arial" w:hAnsi="Arial" w:cs="Arial"/>
          <w:color w:val="404A68"/>
          <w:sz w:val="22"/>
          <w:szCs w:val="22"/>
        </w:rPr>
        <w:t>Scenario D: A child facing removal</w:t>
      </w:r>
    </w:p>
    <w:p w14:paraId="459613F6" w14:textId="38403818" w:rsidR="00051794" w:rsidRPr="009908E8" w:rsidRDefault="4FB7B908" w:rsidP="00977EA1">
      <w:pPr>
        <w:pStyle w:val="font-claude-response-body"/>
        <w:spacing w:line="276" w:lineRule="auto"/>
        <w:jc w:val="both"/>
        <w:rPr>
          <w:rFonts w:ascii="Arial" w:eastAsia="Arial" w:hAnsi="Arial" w:cs="Arial"/>
          <w:sz w:val="22"/>
          <w:szCs w:val="22"/>
        </w:rPr>
      </w:pPr>
      <w:r w:rsidRPr="47D51BD3">
        <w:rPr>
          <w:rFonts w:ascii="Arial" w:eastAsia="Arial" w:hAnsi="Arial" w:cs="Arial"/>
          <w:sz w:val="22"/>
          <w:szCs w:val="22"/>
        </w:rPr>
        <w:t>A child who has spent most of their life in the UK faces removal alongside a parent whose own claim has failed. Under the current test, a judge can look at the child's whole situation, their schooling, friendships, and roots, and decide it would not be reasonable to expect them to leave. Under s.19(7), that assessment is replaced by a closed list of exactly three conditions; if none applies, it is reasonable for the child to leave as a matter of statutory definition, regardless of what a judge looking at that child's actual life might otherwise conclude. A further condition under s.19(6)</w:t>
      </w:r>
      <w:r w:rsidR="6C27666E" w:rsidRPr="47D51BD3">
        <w:rPr>
          <w:rFonts w:ascii="Arial" w:eastAsia="Arial" w:hAnsi="Arial" w:cs="Arial"/>
          <w:sz w:val="22"/>
          <w:szCs w:val="22"/>
        </w:rPr>
        <w:t>(c</w:t>
      </w:r>
      <w:r w:rsidRPr="47D51BD3">
        <w:rPr>
          <w:rFonts w:ascii="Arial" w:eastAsia="Arial" w:hAnsi="Arial" w:cs="Arial"/>
          <w:sz w:val="22"/>
          <w:szCs w:val="22"/>
        </w:rPr>
        <w:t xml:space="preserve">) requires the parent to separately show that separation would cause the child "a very significant and long-lasting adverse effect," an undefined standard with no published guidance. If the family's case reaches appeal, it is decided by the body created in Part 1. Additionally, if any part of their claim was raised later than a claim notice deadline, for example a disclosure the child was too frightened to make sooner, </w:t>
      </w:r>
      <w:r w:rsidR="08263863" w:rsidRPr="47D51BD3">
        <w:rPr>
          <w:rFonts w:ascii="Arial" w:eastAsia="Arial" w:hAnsi="Arial" w:cs="Arial"/>
          <w:sz w:val="22"/>
          <w:szCs w:val="22"/>
        </w:rPr>
        <w:t>Clause</w:t>
      </w:r>
      <w:r w:rsidRPr="47D51BD3">
        <w:rPr>
          <w:rFonts w:ascii="Arial" w:eastAsia="Arial" w:hAnsi="Arial" w:cs="Arial"/>
          <w:sz w:val="22"/>
          <w:szCs w:val="22"/>
        </w:rPr>
        <w:t xml:space="preserve"> 11 applies no age exemption at all to the credibility consequences that follow.</w:t>
      </w:r>
    </w:p>
    <w:p w14:paraId="59AD7793" w14:textId="03EEF9FF" w:rsidR="007727B9" w:rsidRPr="009908E8" w:rsidRDefault="007727B9" w:rsidP="00F33CDC">
      <w:pPr>
        <w:tabs>
          <w:tab w:val="num" w:pos="720"/>
        </w:tabs>
        <w:spacing w:after="0" w:line="276" w:lineRule="auto"/>
        <w:rPr>
          <w:rFonts w:ascii="Arial" w:eastAsia="Arial" w:hAnsi="Arial" w:cs="Arial"/>
          <w:sz w:val="22"/>
          <w:szCs w:val="22"/>
        </w:rPr>
      </w:pPr>
    </w:p>
    <w:p w14:paraId="5E55D363" w14:textId="62E86FC1" w:rsidR="00671E00" w:rsidRPr="009908E8" w:rsidRDefault="00671E00" w:rsidP="00F33CDC">
      <w:pPr>
        <w:tabs>
          <w:tab w:val="num" w:pos="720"/>
        </w:tabs>
        <w:spacing w:after="0" w:line="276" w:lineRule="auto"/>
        <w:rPr>
          <w:rFonts w:ascii="Arial" w:eastAsia="Arial" w:hAnsi="Arial" w:cs="Arial"/>
          <w:sz w:val="22"/>
          <w:szCs w:val="22"/>
        </w:rPr>
      </w:pPr>
    </w:p>
    <w:p w14:paraId="1BB58CA7" w14:textId="0FB4271F" w:rsidR="00AE17CA" w:rsidRPr="009908E8" w:rsidRDefault="00AE17CA" w:rsidP="00F33CDC">
      <w:pPr>
        <w:tabs>
          <w:tab w:val="num" w:pos="720"/>
        </w:tabs>
        <w:spacing w:after="0" w:line="276" w:lineRule="auto"/>
        <w:rPr>
          <w:rFonts w:ascii="Arial" w:eastAsia="Arial" w:hAnsi="Arial" w:cs="Arial"/>
          <w:sz w:val="22"/>
          <w:szCs w:val="22"/>
        </w:rPr>
      </w:pPr>
    </w:p>
    <w:p w14:paraId="5021716A" w14:textId="378F5AF6" w:rsidR="00AE17CA" w:rsidRPr="009908E8" w:rsidRDefault="00AE17CA" w:rsidP="00F33CDC">
      <w:pPr>
        <w:tabs>
          <w:tab w:val="num" w:pos="720"/>
        </w:tabs>
        <w:spacing w:after="0" w:line="276" w:lineRule="auto"/>
        <w:rPr>
          <w:rFonts w:ascii="Arial" w:eastAsia="Arial" w:hAnsi="Arial" w:cs="Arial"/>
          <w:sz w:val="22"/>
          <w:szCs w:val="22"/>
        </w:rPr>
      </w:pPr>
    </w:p>
    <w:p w14:paraId="21BC9188" w14:textId="6E482C8D" w:rsidR="00AE17CA" w:rsidRPr="009908E8" w:rsidRDefault="00AE17CA" w:rsidP="00F33CDC">
      <w:pPr>
        <w:tabs>
          <w:tab w:val="num" w:pos="720"/>
        </w:tabs>
        <w:spacing w:after="0" w:line="276" w:lineRule="auto"/>
        <w:rPr>
          <w:rFonts w:ascii="Arial" w:eastAsia="Arial" w:hAnsi="Arial" w:cs="Arial"/>
          <w:sz w:val="22"/>
          <w:szCs w:val="22"/>
        </w:rPr>
      </w:pPr>
    </w:p>
    <w:p w14:paraId="4692BB3E" w14:textId="4D95DC0D" w:rsidR="00AE17CA" w:rsidRPr="009908E8" w:rsidRDefault="00AE17CA" w:rsidP="00F33CDC">
      <w:pPr>
        <w:tabs>
          <w:tab w:val="num" w:pos="720"/>
        </w:tabs>
        <w:spacing w:after="0" w:line="276" w:lineRule="auto"/>
        <w:rPr>
          <w:rFonts w:ascii="Arial" w:eastAsia="Arial" w:hAnsi="Arial" w:cs="Arial"/>
          <w:sz w:val="22"/>
          <w:szCs w:val="22"/>
        </w:rPr>
      </w:pPr>
    </w:p>
    <w:p w14:paraId="7CDE92AC" w14:textId="358C868E" w:rsidR="00AE17CA" w:rsidRPr="009908E8" w:rsidRDefault="00AE17CA" w:rsidP="00F33CDC">
      <w:pPr>
        <w:tabs>
          <w:tab w:val="num" w:pos="720"/>
        </w:tabs>
        <w:spacing w:after="0" w:line="276" w:lineRule="auto"/>
        <w:rPr>
          <w:rFonts w:ascii="Arial" w:eastAsia="Arial" w:hAnsi="Arial" w:cs="Arial"/>
          <w:sz w:val="22"/>
          <w:szCs w:val="22"/>
        </w:rPr>
      </w:pPr>
    </w:p>
    <w:p w14:paraId="0126848D" w14:textId="5DD8E9EC" w:rsidR="00AE17CA" w:rsidRPr="009908E8" w:rsidRDefault="00AE17CA" w:rsidP="00F33CDC">
      <w:pPr>
        <w:tabs>
          <w:tab w:val="num" w:pos="720"/>
        </w:tabs>
        <w:spacing w:after="0" w:line="276" w:lineRule="auto"/>
        <w:rPr>
          <w:rFonts w:ascii="Arial" w:eastAsia="Arial" w:hAnsi="Arial" w:cs="Arial"/>
          <w:sz w:val="22"/>
          <w:szCs w:val="22"/>
        </w:rPr>
      </w:pPr>
    </w:p>
    <w:p w14:paraId="50087345" w14:textId="1F752A93" w:rsidR="00AE17CA" w:rsidRPr="009908E8" w:rsidRDefault="00AE17CA" w:rsidP="00F33CDC">
      <w:pPr>
        <w:tabs>
          <w:tab w:val="num" w:pos="720"/>
        </w:tabs>
        <w:spacing w:after="0" w:line="276" w:lineRule="auto"/>
        <w:rPr>
          <w:rFonts w:ascii="Arial" w:eastAsia="Arial" w:hAnsi="Arial" w:cs="Arial"/>
          <w:sz w:val="22"/>
          <w:szCs w:val="22"/>
        </w:rPr>
      </w:pPr>
    </w:p>
    <w:p w14:paraId="47C90879" w14:textId="53A8EDDC" w:rsidR="00AE17CA" w:rsidRPr="009908E8" w:rsidRDefault="00AE17CA" w:rsidP="00F33CDC">
      <w:pPr>
        <w:tabs>
          <w:tab w:val="num" w:pos="720"/>
        </w:tabs>
        <w:spacing w:after="0" w:line="276" w:lineRule="auto"/>
        <w:rPr>
          <w:rFonts w:ascii="Arial" w:eastAsia="Arial" w:hAnsi="Arial" w:cs="Arial"/>
          <w:sz w:val="22"/>
          <w:szCs w:val="22"/>
        </w:rPr>
      </w:pPr>
    </w:p>
    <w:p w14:paraId="508A4278" w14:textId="21F75CD3" w:rsidR="00AE17CA" w:rsidRPr="009908E8" w:rsidRDefault="00AE17CA" w:rsidP="00F33CDC">
      <w:pPr>
        <w:tabs>
          <w:tab w:val="num" w:pos="720"/>
        </w:tabs>
        <w:spacing w:after="0" w:line="276" w:lineRule="auto"/>
        <w:rPr>
          <w:rFonts w:ascii="Arial" w:eastAsia="Arial" w:hAnsi="Arial" w:cs="Arial"/>
          <w:sz w:val="22"/>
          <w:szCs w:val="22"/>
        </w:rPr>
      </w:pPr>
    </w:p>
    <w:p w14:paraId="1505F4B5" w14:textId="5D19DCE1" w:rsidR="00AE17CA" w:rsidRPr="009908E8" w:rsidRDefault="00AE17CA" w:rsidP="00F33CDC">
      <w:pPr>
        <w:tabs>
          <w:tab w:val="num" w:pos="720"/>
        </w:tabs>
        <w:spacing w:after="0" w:line="276" w:lineRule="auto"/>
        <w:rPr>
          <w:rFonts w:ascii="Arial" w:eastAsia="Arial" w:hAnsi="Arial" w:cs="Arial"/>
          <w:sz w:val="22"/>
          <w:szCs w:val="22"/>
        </w:rPr>
      </w:pPr>
    </w:p>
    <w:p w14:paraId="56D7CB46" w14:textId="68306B3A" w:rsidR="00AE17CA" w:rsidRPr="009908E8" w:rsidRDefault="00AE17CA" w:rsidP="00F33CDC">
      <w:pPr>
        <w:tabs>
          <w:tab w:val="num" w:pos="720"/>
        </w:tabs>
        <w:spacing w:after="0" w:line="276" w:lineRule="auto"/>
        <w:rPr>
          <w:rFonts w:ascii="Arial" w:eastAsia="Arial" w:hAnsi="Arial" w:cs="Arial"/>
          <w:sz w:val="22"/>
          <w:szCs w:val="22"/>
        </w:rPr>
      </w:pPr>
    </w:p>
    <w:p w14:paraId="60DFCEAF" w14:textId="4E30D69A" w:rsidR="00AE17CA" w:rsidRPr="009908E8" w:rsidRDefault="00AE17CA" w:rsidP="00F33CDC">
      <w:pPr>
        <w:tabs>
          <w:tab w:val="num" w:pos="720"/>
        </w:tabs>
        <w:spacing w:after="0" w:line="276" w:lineRule="auto"/>
        <w:rPr>
          <w:rFonts w:ascii="Arial" w:eastAsia="Arial" w:hAnsi="Arial" w:cs="Arial"/>
          <w:sz w:val="22"/>
          <w:szCs w:val="22"/>
        </w:rPr>
      </w:pPr>
    </w:p>
    <w:p w14:paraId="41FAD8AA" w14:textId="3F33A756" w:rsidR="00AE17CA" w:rsidRPr="009908E8" w:rsidRDefault="00AE17CA" w:rsidP="00F33CDC">
      <w:pPr>
        <w:tabs>
          <w:tab w:val="num" w:pos="720"/>
        </w:tabs>
        <w:spacing w:after="0" w:line="276" w:lineRule="auto"/>
        <w:rPr>
          <w:rFonts w:ascii="Arial" w:eastAsia="Arial" w:hAnsi="Arial" w:cs="Arial"/>
          <w:sz w:val="22"/>
          <w:szCs w:val="22"/>
        </w:rPr>
      </w:pPr>
    </w:p>
    <w:p w14:paraId="4D43DB7B" w14:textId="14C1A6B8" w:rsidR="00AE17CA" w:rsidRPr="009908E8" w:rsidRDefault="00AE17CA" w:rsidP="00F33CDC">
      <w:pPr>
        <w:tabs>
          <w:tab w:val="num" w:pos="720"/>
        </w:tabs>
        <w:spacing w:after="0" w:line="276" w:lineRule="auto"/>
        <w:rPr>
          <w:rFonts w:ascii="Arial" w:eastAsia="Arial" w:hAnsi="Arial" w:cs="Arial"/>
          <w:sz w:val="22"/>
          <w:szCs w:val="22"/>
        </w:rPr>
      </w:pPr>
    </w:p>
    <w:p w14:paraId="43AAEFC3" w14:textId="566D38E1" w:rsidR="00AE17CA" w:rsidRPr="009908E8" w:rsidRDefault="00AE17CA" w:rsidP="00F33CDC">
      <w:pPr>
        <w:tabs>
          <w:tab w:val="num" w:pos="720"/>
        </w:tabs>
        <w:spacing w:after="0" w:line="276" w:lineRule="auto"/>
        <w:rPr>
          <w:rFonts w:ascii="Arial" w:eastAsia="Arial" w:hAnsi="Arial" w:cs="Arial"/>
          <w:sz w:val="22"/>
          <w:szCs w:val="22"/>
        </w:rPr>
      </w:pPr>
    </w:p>
    <w:p w14:paraId="5EF1BCCB" w14:textId="3C4422E5" w:rsidR="00AE17CA" w:rsidRPr="009908E8" w:rsidRDefault="00AE17CA" w:rsidP="00F33CDC">
      <w:pPr>
        <w:tabs>
          <w:tab w:val="num" w:pos="720"/>
        </w:tabs>
        <w:spacing w:after="0" w:line="276" w:lineRule="auto"/>
        <w:rPr>
          <w:rFonts w:ascii="Arial" w:eastAsia="Arial" w:hAnsi="Arial" w:cs="Arial"/>
          <w:sz w:val="22"/>
          <w:szCs w:val="22"/>
        </w:rPr>
      </w:pPr>
    </w:p>
    <w:p w14:paraId="2E8C6F56" w14:textId="0F2E4FB3" w:rsidR="00AE17CA" w:rsidRPr="009908E8" w:rsidRDefault="00AE17CA" w:rsidP="00F33CDC">
      <w:pPr>
        <w:tabs>
          <w:tab w:val="num" w:pos="720"/>
        </w:tabs>
        <w:spacing w:after="0" w:line="276" w:lineRule="auto"/>
        <w:rPr>
          <w:rFonts w:ascii="Arial" w:eastAsia="Arial" w:hAnsi="Arial" w:cs="Arial"/>
          <w:sz w:val="22"/>
          <w:szCs w:val="22"/>
        </w:rPr>
      </w:pPr>
    </w:p>
    <w:p w14:paraId="4FB0D2AE" w14:textId="6B081D90" w:rsidR="00AE17CA" w:rsidRPr="009908E8" w:rsidRDefault="00AE17CA" w:rsidP="00F33CDC">
      <w:pPr>
        <w:tabs>
          <w:tab w:val="num" w:pos="720"/>
        </w:tabs>
        <w:spacing w:after="0" w:line="276" w:lineRule="auto"/>
        <w:rPr>
          <w:rFonts w:ascii="Arial" w:eastAsia="Arial" w:hAnsi="Arial" w:cs="Arial"/>
          <w:sz w:val="22"/>
          <w:szCs w:val="22"/>
        </w:rPr>
      </w:pPr>
    </w:p>
    <w:p w14:paraId="0CC9622C" w14:textId="50CCB2EA" w:rsidR="00AE17CA" w:rsidRPr="009908E8" w:rsidRDefault="00AE17CA" w:rsidP="00F33CDC">
      <w:pPr>
        <w:tabs>
          <w:tab w:val="num" w:pos="720"/>
        </w:tabs>
        <w:spacing w:after="0" w:line="276" w:lineRule="auto"/>
        <w:rPr>
          <w:rFonts w:ascii="Arial" w:eastAsia="Arial" w:hAnsi="Arial" w:cs="Arial"/>
          <w:sz w:val="22"/>
          <w:szCs w:val="22"/>
        </w:rPr>
      </w:pPr>
    </w:p>
    <w:p w14:paraId="1FBB4EA2" w14:textId="77777777" w:rsidR="00F73EB4" w:rsidRPr="009908E8" w:rsidRDefault="00F73EB4" w:rsidP="00F33CDC">
      <w:pPr>
        <w:tabs>
          <w:tab w:val="num" w:pos="720"/>
        </w:tabs>
        <w:spacing w:after="0" w:line="276" w:lineRule="auto"/>
        <w:rPr>
          <w:rFonts w:ascii="Arial" w:eastAsia="Arial" w:hAnsi="Arial" w:cs="Arial"/>
          <w:sz w:val="22"/>
          <w:szCs w:val="22"/>
        </w:rPr>
      </w:pPr>
    </w:p>
    <w:p w14:paraId="6B890C91" w14:textId="107F69E9" w:rsidR="007727B9" w:rsidRPr="009908E8" w:rsidRDefault="7D1A98B4" w:rsidP="00F33CDC">
      <w:pPr>
        <w:tabs>
          <w:tab w:val="num" w:pos="720"/>
        </w:tabs>
        <w:spacing w:after="0" w:line="276" w:lineRule="auto"/>
        <w:rPr>
          <w:rFonts w:ascii="Arial" w:eastAsia="Arial" w:hAnsi="Arial" w:cs="Arial"/>
          <w:sz w:val="22"/>
          <w:szCs w:val="22"/>
        </w:rPr>
      </w:pPr>
      <w:r w:rsidRPr="47D51BD3">
        <w:rPr>
          <w:rFonts w:ascii="Arial" w:eastAsia="Arial" w:hAnsi="Arial" w:cs="Arial"/>
          <w:sz w:val="22"/>
          <w:szCs w:val="22"/>
        </w:rPr>
        <w:t xml:space="preserve">If you have any further questions, please contact </w:t>
      </w:r>
      <w:r w:rsidR="79524EF9" w:rsidRPr="47D51BD3">
        <w:rPr>
          <w:rFonts w:ascii="Arial" w:eastAsia="Arial" w:hAnsi="Arial" w:cs="Arial"/>
          <w:sz w:val="22"/>
          <w:szCs w:val="22"/>
        </w:rPr>
        <w:t>Sabrina Galella, Director of Advocacy &amp; Policy</w:t>
      </w:r>
      <w:r w:rsidR="2AE94421" w:rsidRPr="47D51BD3">
        <w:rPr>
          <w:rFonts w:ascii="Arial" w:eastAsia="Arial" w:hAnsi="Arial" w:cs="Arial"/>
          <w:sz w:val="22"/>
          <w:szCs w:val="22"/>
        </w:rPr>
        <w:t xml:space="preserve"> at ILPA: legal@i</w:t>
      </w:r>
      <w:r w:rsidR="7547FDB5" w:rsidRPr="47D51BD3">
        <w:rPr>
          <w:rFonts w:ascii="Arial" w:eastAsia="Arial" w:hAnsi="Arial" w:cs="Arial"/>
          <w:sz w:val="22"/>
          <w:szCs w:val="22"/>
        </w:rPr>
        <w:t>lpa</w:t>
      </w:r>
      <w:r w:rsidR="2AE94421" w:rsidRPr="47D51BD3">
        <w:rPr>
          <w:rFonts w:ascii="Arial" w:eastAsia="Arial" w:hAnsi="Arial" w:cs="Arial"/>
          <w:sz w:val="22"/>
          <w:szCs w:val="22"/>
        </w:rPr>
        <w:t>.org.uk</w:t>
      </w:r>
    </w:p>
    <w:sectPr w:rsidR="007727B9" w:rsidRPr="009908E8" w:rsidSect="0065147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1BE6C" w14:textId="77777777" w:rsidR="00F5751A" w:rsidRDefault="00F5751A" w:rsidP="00651471">
      <w:pPr>
        <w:spacing w:after="0" w:line="240" w:lineRule="auto"/>
      </w:pPr>
      <w:r>
        <w:separator/>
      </w:r>
    </w:p>
  </w:endnote>
  <w:endnote w:type="continuationSeparator" w:id="0">
    <w:p w14:paraId="7226DA44" w14:textId="77777777" w:rsidR="00F5751A" w:rsidRDefault="00F5751A" w:rsidP="0065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464974"/>
      <w:docPartObj>
        <w:docPartGallery w:val="Page Numbers (Bottom of Page)"/>
        <w:docPartUnique/>
      </w:docPartObj>
    </w:sdtPr>
    <w:sdtEndPr>
      <w:rPr>
        <w:noProof/>
      </w:rPr>
    </w:sdtEndPr>
    <w:sdtContent>
      <w:p w14:paraId="7122B098" w14:textId="77777777" w:rsidR="00651471" w:rsidRDefault="006514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DDB998" w14:textId="55D9DD1B" w:rsidR="00651471" w:rsidRPr="004931E9" w:rsidRDefault="002A7005">
    <w:pPr>
      <w:pStyle w:val="Footer"/>
      <w:rPr>
        <w:rFonts w:ascii="Arial" w:hAnsi="Arial" w:cs="Arial"/>
        <w:color w:val="404A68"/>
        <w:sz w:val="22"/>
        <w:szCs w:val="22"/>
      </w:rPr>
    </w:pPr>
    <w:r w:rsidRPr="004931E9">
      <w:rPr>
        <w:rFonts w:ascii="Arial" w:hAnsi="Arial" w:cs="Arial"/>
        <w:color w:val="404A68"/>
        <w:sz w:val="22"/>
        <w:szCs w:val="22"/>
      </w:rPr>
      <w:t xml:space="preserve">ILPA’s House of Commons Second Reading Briefing – </w:t>
    </w:r>
    <w:r w:rsidR="00643D9C" w:rsidRPr="004931E9">
      <w:rPr>
        <w:rFonts w:ascii="Arial" w:hAnsi="Arial" w:cs="Arial"/>
        <w:color w:val="404A68"/>
        <w:sz w:val="22"/>
        <w:szCs w:val="22"/>
      </w:rPr>
      <w:t xml:space="preserve">Immigration and Asylum </w:t>
    </w:r>
    <w:r w:rsidRPr="004931E9">
      <w:rPr>
        <w:rFonts w:ascii="Arial" w:hAnsi="Arial" w:cs="Arial"/>
        <w:color w:val="404A68"/>
        <w:sz w:val="22"/>
        <w:szCs w:val="22"/>
      </w:rPr>
      <w:t>Bill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C227" w14:textId="77777777" w:rsidR="00F5751A" w:rsidRDefault="00F5751A" w:rsidP="00651471">
      <w:pPr>
        <w:spacing w:after="0" w:line="240" w:lineRule="auto"/>
      </w:pPr>
      <w:r>
        <w:separator/>
      </w:r>
    </w:p>
  </w:footnote>
  <w:footnote w:type="continuationSeparator" w:id="0">
    <w:p w14:paraId="6F080BE9" w14:textId="77777777" w:rsidR="00F5751A" w:rsidRDefault="00F5751A" w:rsidP="00651471">
      <w:pPr>
        <w:spacing w:after="0" w:line="240" w:lineRule="auto"/>
      </w:pPr>
      <w:r>
        <w:continuationSeparator/>
      </w:r>
    </w:p>
  </w:footnote>
  <w:footnote w:id="1">
    <w:p w14:paraId="33F592EB" w14:textId="0A46934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HC 2026-27 105 Impact Assessment, para 7.</w:t>
      </w:r>
    </w:p>
  </w:footnote>
  <w:footnote w:id="2">
    <w:p w14:paraId="6F1209D3"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Ibid; footnote 10.</w:t>
      </w:r>
    </w:p>
  </w:footnote>
  <w:footnote w:id="3">
    <w:p w14:paraId="220FD64B" w14:textId="5C0DF1E3"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3931A9" w:rsidRPr="00570EBF">
        <w:rPr>
          <w:rFonts w:ascii="Arial" w:hAnsi="Arial" w:cs="Arial"/>
          <w:sz w:val="18"/>
          <w:szCs w:val="18"/>
        </w:rPr>
        <w:t>Home Office, “</w:t>
      </w:r>
      <w:hyperlink r:id="rId1" w:history="1">
        <w:r w:rsidR="003931A9" w:rsidRPr="00570EBF">
          <w:rPr>
            <w:rStyle w:val="Hyperlink"/>
            <w:rFonts w:ascii="Arial" w:hAnsi="Arial" w:cs="Arial"/>
            <w:sz w:val="18"/>
            <w:szCs w:val="18"/>
          </w:rPr>
          <w:t>Modern Slavery: National Referral Mechanism and Duty to Notify Statistics UK, End of Year Summary 2025</w:t>
        </w:r>
      </w:hyperlink>
      <w:r w:rsidR="003931A9" w:rsidRPr="00570EBF">
        <w:rPr>
          <w:rFonts w:ascii="Arial" w:hAnsi="Arial" w:cs="Arial"/>
          <w:sz w:val="18"/>
          <w:szCs w:val="18"/>
        </w:rPr>
        <w:t>” (February 19</w:t>
      </w:r>
      <w:proofErr w:type="gramStart"/>
      <w:r w:rsidR="003931A9" w:rsidRPr="00570EBF">
        <w:rPr>
          <w:rFonts w:ascii="Arial" w:hAnsi="Arial" w:cs="Arial"/>
          <w:sz w:val="18"/>
          <w:szCs w:val="18"/>
        </w:rPr>
        <w:t xml:space="preserve"> 2026</w:t>
      </w:r>
      <w:proofErr w:type="gramEnd"/>
      <w:r w:rsidR="003931A9" w:rsidRPr="00570EBF">
        <w:rPr>
          <w:rFonts w:ascii="Arial" w:hAnsi="Arial" w:cs="Arial"/>
          <w:sz w:val="18"/>
          <w:szCs w:val="18"/>
        </w:rPr>
        <w:t>).</w:t>
      </w:r>
    </w:p>
  </w:footnote>
  <w:footnote w:id="4">
    <w:p w14:paraId="549CD1CA"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National Audit Office, ‘</w:t>
      </w:r>
      <w:hyperlink r:id="rId2" w:history="1">
        <w:r w:rsidRPr="00570EBF">
          <w:rPr>
            <w:rStyle w:val="Hyperlink"/>
            <w:rFonts w:ascii="Arial" w:hAnsi="Arial" w:cs="Arial"/>
            <w:sz w:val="18"/>
            <w:szCs w:val="18"/>
          </w:rPr>
          <w:t>An analysis of the asylum system</w:t>
        </w:r>
      </w:hyperlink>
      <w:r w:rsidRPr="00570EBF">
        <w:rPr>
          <w:rFonts w:ascii="Arial" w:hAnsi="Arial" w:cs="Arial"/>
          <w:sz w:val="18"/>
          <w:szCs w:val="18"/>
        </w:rPr>
        <w:t>’ (December 2025) 35.</w:t>
      </w:r>
    </w:p>
  </w:footnote>
  <w:footnote w:id="5">
    <w:p w14:paraId="1F29045B" w14:textId="08FA2B9F"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Jo Wilding, ‘</w:t>
      </w:r>
      <w:hyperlink r:id="rId3" w:history="1">
        <w:r w:rsidRPr="00570EBF">
          <w:rPr>
            <w:rStyle w:val="Hyperlink"/>
            <w:rFonts w:ascii="Arial" w:hAnsi="Arial" w:cs="Arial"/>
            <w:sz w:val="18"/>
            <w:szCs w:val="18"/>
          </w:rPr>
          <w:t>Over half the people seeking asylum are now unable to access a legal aid lawyer</w:t>
        </w:r>
      </w:hyperlink>
      <w:r w:rsidRPr="00570EBF">
        <w:rPr>
          <w:rFonts w:ascii="Arial" w:hAnsi="Arial" w:cs="Arial"/>
          <w:sz w:val="18"/>
          <w:szCs w:val="18"/>
        </w:rPr>
        <w:t>’ (</w:t>
      </w:r>
      <w:proofErr w:type="spellStart"/>
      <w:r w:rsidRPr="00570EBF">
        <w:rPr>
          <w:rFonts w:ascii="Arial" w:hAnsi="Arial" w:cs="Arial"/>
          <w:sz w:val="18"/>
          <w:szCs w:val="18"/>
        </w:rPr>
        <w:t>Freemovement</w:t>
      </w:r>
      <w:proofErr w:type="spellEnd"/>
      <w:r w:rsidRPr="00570EBF">
        <w:rPr>
          <w:rFonts w:ascii="Arial" w:hAnsi="Arial" w:cs="Arial"/>
          <w:sz w:val="18"/>
          <w:szCs w:val="18"/>
        </w:rPr>
        <w:t>, 25 October 2023)</w:t>
      </w:r>
      <w:r w:rsidR="00E02DB9" w:rsidRPr="00570EBF">
        <w:rPr>
          <w:rFonts w:ascii="Arial" w:hAnsi="Arial" w:cs="Arial"/>
          <w:sz w:val="18"/>
          <w:szCs w:val="18"/>
        </w:rPr>
        <w:t>.</w:t>
      </w:r>
    </w:p>
  </w:footnote>
  <w:footnote w:id="6">
    <w:p w14:paraId="0398E5F6"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w:t>
      </w:r>
      <w:hyperlink r:id="rId4" w:history="1">
        <w:r w:rsidRPr="00570EBF">
          <w:rPr>
            <w:rStyle w:val="Hyperlink"/>
            <w:rFonts w:ascii="Arial" w:hAnsi="Arial" w:cs="Arial"/>
            <w:sz w:val="18"/>
            <w:szCs w:val="18"/>
          </w:rPr>
          <w:t>A Fairer Pathway to Settlement: A statement and accompanying consultation on earned settlement</w:t>
        </w:r>
      </w:hyperlink>
      <w:r w:rsidRPr="00570EBF">
        <w:rPr>
          <w:rFonts w:ascii="Arial" w:hAnsi="Arial" w:cs="Arial"/>
          <w:sz w:val="18"/>
          <w:szCs w:val="18"/>
        </w:rPr>
        <w:t>’ (November 2025).</w:t>
      </w:r>
    </w:p>
  </w:footnote>
  <w:footnote w:id="7">
    <w:p w14:paraId="1BBACC1C"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5" w:history="1">
        <w:r w:rsidRPr="00570EBF">
          <w:rPr>
            <w:rStyle w:val="Hyperlink"/>
            <w:rFonts w:ascii="Arial" w:hAnsi="Arial" w:cs="Arial"/>
            <w:sz w:val="18"/>
            <w:szCs w:val="18"/>
          </w:rPr>
          <w:t>Refugee protection to be reviewed every 30 months</w:t>
        </w:r>
      </w:hyperlink>
      <w:r w:rsidRPr="00570EBF">
        <w:rPr>
          <w:rFonts w:ascii="Arial" w:hAnsi="Arial" w:cs="Arial"/>
          <w:sz w:val="18"/>
          <w:szCs w:val="18"/>
        </w:rPr>
        <w:t>’ (2 March 2026) 7, 17.</w:t>
      </w:r>
    </w:p>
  </w:footnote>
  <w:footnote w:id="8">
    <w:p w14:paraId="68351B6C" w14:textId="1B39E7E0"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HC Deb 2 March 2026, vol 772, col 49WS &lt; </w:t>
      </w:r>
      <w:hyperlink r:id="rId6" w:history="1">
        <w:r w:rsidRPr="00570EBF">
          <w:rPr>
            <w:rStyle w:val="Hyperlink"/>
            <w:rFonts w:ascii="Arial" w:hAnsi="Arial" w:cs="Arial"/>
            <w:sz w:val="18"/>
            <w:szCs w:val="18"/>
          </w:rPr>
          <w:t>https://questions-statements.parliament.uk/written-statements/detail/2026-03-02/hcws1373</w:t>
        </w:r>
      </w:hyperlink>
      <w:r w:rsidRPr="00570EBF">
        <w:rPr>
          <w:rFonts w:ascii="Arial" w:hAnsi="Arial" w:cs="Arial"/>
          <w:sz w:val="18"/>
          <w:szCs w:val="18"/>
        </w:rPr>
        <w:t xml:space="preserve">&gt;. </w:t>
      </w:r>
    </w:p>
  </w:footnote>
  <w:footnote w:id="9">
    <w:p w14:paraId="5869E27D" w14:textId="20D2A905"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‘A Fairer Pathway’ (n</w:t>
      </w:r>
      <w:r w:rsidR="0017398C" w:rsidRPr="00570EBF">
        <w:rPr>
          <w:rFonts w:ascii="Arial" w:hAnsi="Arial" w:cs="Arial"/>
          <w:sz w:val="18"/>
          <w:szCs w:val="18"/>
        </w:rPr>
        <w:t xml:space="preserve"> </w:t>
      </w:r>
      <w:r w:rsidR="0017398C" w:rsidRPr="00570EBF">
        <w:rPr>
          <w:rFonts w:ascii="Arial" w:hAnsi="Arial" w:cs="Arial"/>
          <w:sz w:val="18"/>
          <w:szCs w:val="18"/>
        </w:rPr>
        <w:fldChar w:fldCharType="begin"/>
      </w:r>
      <w:r w:rsidR="0017398C" w:rsidRPr="00570EBF">
        <w:rPr>
          <w:rFonts w:ascii="Arial" w:hAnsi="Arial" w:cs="Arial"/>
          <w:sz w:val="18"/>
          <w:szCs w:val="18"/>
        </w:rPr>
        <w:instrText xml:space="preserve"> NOTEREF _Ref234407978 \h </w:instrText>
      </w:r>
      <w:r w:rsidR="00624A32" w:rsidRPr="00570EBF">
        <w:rPr>
          <w:rFonts w:ascii="Arial" w:hAnsi="Arial" w:cs="Arial"/>
          <w:sz w:val="18"/>
          <w:szCs w:val="18"/>
        </w:rPr>
        <w:instrText xml:space="preserve"> \* MERGEFORMAT </w:instrText>
      </w:r>
      <w:r w:rsidR="0017398C" w:rsidRPr="00570EBF">
        <w:rPr>
          <w:rFonts w:ascii="Arial" w:hAnsi="Arial" w:cs="Arial"/>
          <w:sz w:val="18"/>
          <w:szCs w:val="18"/>
        </w:rPr>
      </w:r>
      <w:r w:rsidR="0017398C" w:rsidRPr="00570EBF">
        <w:rPr>
          <w:rFonts w:ascii="Arial" w:hAnsi="Arial" w:cs="Arial"/>
          <w:sz w:val="18"/>
          <w:szCs w:val="18"/>
        </w:rPr>
        <w:fldChar w:fldCharType="separate"/>
      </w:r>
      <w:r w:rsidR="0017398C" w:rsidRPr="00570EBF">
        <w:rPr>
          <w:rFonts w:ascii="Arial" w:hAnsi="Arial" w:cs="Arial"/>
          <w:sz w:val="18"/>
          <w:szCs w:val="18"/>
        </w:rPr>
        <w:t>6</w:t>
      </w:r>
      <w:r w:rsidR="0017398C" w:rsidRPr="00570EBF">
        <w:rPr>
          <w:rFonts w:ascii="Arial" w:hAnsi="Arial" w:cs="Arial"/>
          <w:sz w:val="18"/>
          <w:szCs w:val="18"/>
        </w:rPr>
        <w:fldChar w:fldCharType="end"/>
      </w:r>
      <w:r w:rsidRPr="00570EBF">
        <w:rPr>
          <w:rFonts w:ascii="Arial" w:hAnsi="Arial" w:cs="Arial"/>
          <w:sz w:val="18"/>
          <w:szCs w:val="18"/>
        </w:rPr>
        <w:t>) 25.</w:t>
      </w:r>
    </w:p>
  </w:footnote>
  <w:footnote w:id="10">
    <w:p w14:paraId="5808DC07" w14:textId="4CAAEAA6"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w:t>
      </w:r>
      <w:r w:rsidRPr="00570EBF">
        <w:rPr>
          <w:rFonts w:ascii="Arial" w:hAnsi="Arial" w:cs="Arial"/>
          <w:color w:val="000000" w:themeColor="text1"/>
          <w:sz w:val="18"/>
          <w:szCs w:val="18"/>
        </w:rPr>
        <w:t xml:space="preserve">mmigration and Asylum </w:t>
      </w:r>
      <w:r w:rsidR="0017398C" w:rsidRPr="00570EBF">
        <w:rPr>
          <w:rFonts w:ascii="Arial" w:hAnsi="Arial" w:cs="Arial"/>
          <w:color w:val="000000" w:themeColor="text1"/>
          <w:sz w:val="18"/>
          <w:szCs w:val="18"/>
        </w:rPr>
        <w:t xml:space="preserve">(n </w:t>
      </w:r>
      <w:r w:rsidR="0017398C" w:rsidRPr="00570EBF">
        <w:rPr>
          <w:rFonts w:ascii="Arial" w:hAnsi="Arial" w:cs="Arial"/>
          <w:color w:val="000000" w:themeColor="text1"/>
          <w:sz w:val="18"/>
          <w:szCs w:val="18"/>
        </w:rPr>
        <w:fldChar w:fldCharType="begin"/>
      </w:r>
      <w:r w:rsidR="0017398C" w:rsidRPr="00570EBF">
        <w:rPr>
          <w:rFonts w:ascii="Arial" w:hAnsi="Arial" w:cs="Arial"/>
          <w:color w:val="000000" w:themeColor="text1"/>
          <w:sz w:val="18"/>
          <w:szCs w:val="18"/>
        </w:rPr>
        <w:instrText xml:space="preserve"> NOTEREF _Ref234483691 \h </w:instrText>
      </w:r>
      <w:r w:rsidR="00624A32" w:rsidRPr="00570EBF">
        <w:rPr>
          <w:rFonts w:ascii="Arial" w:hAnsi="Arial" w:cs="Arial"/>
          <w:color w:val="000000" w:themeColor="text1"/>
          <w:sz w:val="18"/>
          <w:szCs w:val="18"/>
        </w:rPr>
        <w:instrText xml:space="preserve"> \* MERGEFORMAT </w:instrText>
      </w:r>
      <w:r w:rsidR="0017398C" w:rsidRPr="00570EBF">
        <w:rPr>
          <w:rFonts w:ascii="Arial" w:hAnsi="Arial" w:cs="Arial"/>
          <w:color w:val="000000" w:themeColor="text1"/>
          <w:sz w:val="18"/>
          <w:szCs w:val="18"/>
        </w:rPr>
      </w:r>
      <w:r w:rsidR="0017398C" w:rsidRPr="00570EBF">
        <w:rPr>
          <w:rFonts w:ascii="Arial" w:hAnsi="Arial" w:cs="Arial"/>
          <w:color w:val="000000" w:themeColor="text1"/>
          <w:sz w:val="18"/>
          <w:szCs w:val="18"/>
        </w:rPr>
        <w:fldChar w:fldCharType="separate"/>
      </w:r>
      <w:r w:rsidR="0017398C" w:rsidRPr="00570EBF">
        <w:rPr>
          <w:rFonts w:ascii="Arial" w:hAnsi="Arial" w:cs="Arial"/>
          <w:color w:val="000000" w:themeColor="text1"/>
          <w:sz w:val="18"/>
          <w:szCs w:val="18"/>
        </w:rPr>
        <w:t>1</w:t>
      </w:r>
      <w:r w:rsidR="0017398C" w:rsidRPr="00570EBF">
        <w:rPr>
          <w:rFonts w:ascii="Arial" w:hAnsi="Arial" w:cs="Arial"/>
          <w:color w:val="000000" w:themeColor="text1"/>
          <w:sz w:val="18"/>
          <w:szCs w:val="18"/>
        </w:rPr>
        <w:fldChar w:fldCharType="end"/>
      </w:r>
      <w:r w:rsidR="0017398C" w:rsidRPr="00570EBF">
        <w:rPr>
          <w:rFonts w:ascii="Arial" w:hAnsi="Arial" w:cs="Arial"/>
          <w:color w:val="000000" w:themeColor="text1"/>
          <w:sz w:val="18"/>
          <w:szCs w:val="18"/>
        </w:rPr>
        <w:t>)</w:t>
      </w:r>
      <w:r w:rsidRPr="00570EBF">
        <w:rPr>
          <w:rFonts w:ascii="Arial" w:hAnsi="Arial" w:cs="Arial"/>
          <w:color w:val="000000" w:themeColor="text1"/>
          <w:sz w:val="18"/>
          <w:szCs w:val="18"/>
        </w:rPr>
        <w:t>, Cl 1(1).</w:t>
      </w:r>
    </w:p>
  </w:footnote>
  <w:footnote w:id="11">
    <w:p w14:paraId="66EDCFE8" w14:textId="282BF47D"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17398C" w:rsidRPr="00570EBF">
        <w:rPr>
          <w:rFonts w:ascii="Arial" w:hAnsi="Arial" w:cs="Arial"/>
          <w:sz w:val="18"/>
          <w:szCs w:val="18"/>
        </w:rPr>
        <w:t>Ibid</w:t>
      </w:r>
      <w:r w:rsidRPr="00570EBF">
        <w:rPr>
          <w:rFonts w:ascii="Arial" w:hAnsi="Arial" w:cs="Arial"/>
          <w:sz w:val="18"/>
          <w:szCs w:val="18"/>
        </w:rPr>
        <w:t>, Schedule 1.</w:t>
      </w:r>
    </w:p>
  </w:footnote>
  <w:footnote w:id="12">
    <w:p w14:paraId="4C4DEF8A" w14:textId="79EEE36D"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7" w:anchor=":~:text=Home%20Secretary%20Shabana%20Mahmood%20said,are%20heard%20swiftly%20and%20fairly." w:history="1">
        <w:r w:rsidRPr="00570EBF">
          <w:rPr>
            <w:rStyle w:val="Hyperlink"/>
            <w:rFonts w:ascii="Arial" w:hAnsi="Arial" w:cs="Arial"/>
            <w:sz w:val="18"/>
            <w:szCs w:val="18"/>
          </w:rPr>
          <w:t>‘New independent appeals body to speed up removals’</w:t>
        </w:r>
      </w:hyperlink>
      <w:r w:rsidRPr="00570EBF">
        <w:rPr>
          <w:rFonts w:ascii="Arial" w:hAnsi="Arial" w:cs="Arial"/>
          <w:sz w:val="18"/>
          <w:szCs w:val="18"/>
        </w:rPr>
        <w:t xml:space="preserve"> (30 June 2026).</w:t>
      </w:r>
    </w:p>
  </w:footnote>
  <w:footnote w:id="13">
    <w:p w14:paraId="64EB6F6D" w14:textId="46B844DF"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ILPA, ‘</w:t>
      </w:r>
      <w:hyperlink r:id="rId8" w:history="1">
        <w:r w:rsidRPr="00570EBF">
          <w:rPr>
            <w:rStyle w:val="Hyperlink"/>
            <w:rFonts w:ascii="Arial" w:hAnsi="Arial" w:cs="Arial"/>
            <w:sz w:val="18"/>
            <w:szCs w:val="18"/>
          </w:rPr>
          <w:t>Call for evidence: the new Independent Appeals Body, response of the Immigration Law Practitioners’ Association</w:t>
        </w:r>
      </w:hyperlink>
      <w:r w:rsidRPr="00570EBF">
        <w:rPr>
          <w:rFonts w:ascii="Arial" w:hAnsi="Arial" w:cs="Arial"/>
          <w:sz w:val="18"/>
          <w:szCs w:val="18"/>
        </w:rPr>
        <w:t>’ (5 May 2026).</w:t>
      </w:r>
    </w:p>
  </w:footnote>
  <w:footnote w:id="14">
    <w:p w14:paraId="371E90D3" w14:textId="53F8C73B"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9" w:history="1">
        <w:r w:rsidRPr="00570EBF">
          <w:rPr>
            <w:rStyle w:val="Hyperlink"/>
            <w:rFonts w:ascii="Arial" w:hAnsi="Arial" w:cs="Arial"/>
            <w:sz w:val="18"/>
            <w:szCs w:val="18"/>
          </w:rPr>
          <w:t>An analysis of the asylum system</w:t>
        </w:r>
      </w:hyperlink>
      <w:r w:rsidRPr="00570EBF">
        <w:rPr>
          <w:rFonts w:ascii="Arial" w:hAnsi="Arial" w:cs="Arial"/>
          <w:sz w:val="18"/>
          <w:szCs w:val="18"/>
        </w:rPr>
        <w:t>’ (</w:t>
      </w:r>
      <w:r w:rsidR="0017398C" w:rsidRPr="00570EBF">
        <w:rPr>
          <w:rFonts w:ascii="Arial" w:hAnsi="Arial" w:cs="Arial"/>
          <w:sz w:val="18"/>
          <w:szCs w:val="18"/>
        </w:rPr>
        <w:t xml:space="preserve">n </w:t>
      </w:r>
      <w:r w:rsidR="0017398C" w:rsidRPr="00570EBF">
        <w:rPr>
          <w:rFonts w:ascii="Arial" w:hAnsi="Arial" w:cs="Arial"/>
          <w:sz w:val="18"/>
          <w:szCs w:val="18"/>
        </w:rPr>
        <w:fldChar w:fldCharType="begin"/>
      </w:r>
      <w:r w:rsidR="0017398C" w:rsidRPr="00570EBF">
        <w:rPr>
          <w:rFonts w:ascii="Arial" w:hAnsi="Arial" w:cs="Arial"/>
          <w:sz w:val="18"/>
          <w:szCs w:val="18"/>
        </w:rPr>
        <w:instrText xml:space="preserve"> NOTEREF _Ref234483720 \h </w:instrText>
      </w:r>
      <w:r w:rsidR="00624A32" w:rsidRPr="00570EBF">
        <w:rPr>
          <w:rFonts w:ascii="Arial" w:hAnsi="Arial" w:cs="Arial"/>
          <w:sz w:val="18"/>
          <w:szCs w:val="18"/>
        </w:rPr>
        <w:instrText xml:space="preserve"> \* MERGEFORMAT </w:instrText>
      </w:r>
      <w:r w:rsidR="0017398C" w:rsidRPr="00570EBF">
        <w:rPr>
          <w:rFonts w:ascii="Arial" w:hAnsi="Arial" w:cs="Arial"/>
          <w:sz w:val="18"/>
          <w:szCs w:val="18"/>
        </w:rPr>
      </w:r>
      <w:r w:rsidR="0017398C" w:rsidRPr="00570EBF">
        <w:rPr>
          <w:rFonts w:ascii="Arial" w:hAnsi="Arial" w:cs="Arial"/>
          <w:sz w:val="18"/>
          <w:szCs w:val="18"/>
        </w:rPr>
        <w:fldChar w:fldCharType="separate"/>
      </w:r>
      <w:r w:rsidR="0017398C" w:rsidRPr="00570EBF">
        <w:rPr>
          <w:rFonts w:ascii="Arial" w:hAnsi="Arial" w:cs="Arial"/>
          <w:sz w:val="18"/>
          <w:szCs w:val="18"/>
        </w:rPr>
        <w:t>4</w:t>
      </w:r>
      <w:r w:rsidR="0017398C" w:rsidRPr="00570EBF">
        <w:rPr>
          <w:rFonts w:ascii="Arial" w:hAnsi="Arial" w:cs="Arial"/>
          <w:sz w:val="18"/>
          <w:szCs w:val="18"/>
        </w:rPr>
        <w:fldChar w:fldCharType="end"/>
      </w:r>
      <w:r w:rsidR="0017398C" w:rsidRPr="00570EBF">
        <w:rPr>
          <w:rFonts w:ascii="Arial" w:hAnsi="Arial" w:cs="Arial"/>
          <w:sz w:val="18"/>
          <w:szCs w:val="18"/>
        </w:rPr>
        <w:t>)</w:t>
      </w:r>
      <w:r w:rsidRPr="00570EBF">
        <w:rPr>
          <w:rFonts w:ascii="Arial" w:hAnsi="Arial" w:cs="Arial"/>
          <w:sz w:val="18"/>
          <w:szCs w:val="18"/>
        </w:rPr>
        <w:t xml:space="preserve"> 35.</w:t>
      </w:r>
    </w:p>
  </w:footnote>
  <w:footnote w:id="15">
    <w:p w14:paraId="2AA6BB88" w14:textId="7A47A97F"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Lizzie Dearden, ‘</w:t>
      </w:r>
      <w:hyperlink r:id="rId10" w:history="1">
        <w:r w:rsidRPr="00570EBF">
          <w:rPr>
            <w:rStyle w:val="Hyperlink"/>
            <w:rFonts w:ascii="Arial" w:hAnsi="Arial" w:cs="Arial"/>
            <w:sz w:val="18"/>
            <w:szCs w:val="18"/>
          </w:rPr>
          <w:t>Home Office says only half of UK asylum decisions meet its quality standards</w:t>
        </w:r>
      </w:hyperlink>
      <w:r w:rsidRPr="00570EBF">
        <w:rPr>
          <w:rFonts w:ascii="Arial" w:hAnsi="Arial" w:cs="Arial"/>
          <w:sz w:val="18"/>
          <w:szCs w:val="18"/>
        </w:rPr>
        <w:t>’ (The Guardian, 8 December 2024).</w:t>
      </w:r>
    </w:p>
  </w:footnote>
  <w:footnote w:id="16">
    <w:p w14:paraId="7B396EB7" w14:textId="35CE067A"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Colin Yeo, ‘</w:t>
      </w:r>
      <w:hyperlink r:id="rId11" w:history="1">
        <w:r w:rsidRPr="00570EBF">
          <w:rPr>
            <w:rStyle w:val="Hyperlink"/>
            <w:rFonts w:ascii="Arial" w:hAnsi="Arial" w:cs="Arial"/>
            <w:sz w:val="18"/>
            <w:szCs w:val="18"/>
          </w:rPr>
          <w:t>The sorry state of the UK asylum system</w:t>
        </w:r>
      </w:hyperlink>
      <w:r w:rsidRPr="00570EBF">
        <w:rPr>
          <w:rFonts w:ascii="Arial" w:hAnsi="Arial" w:cs="Arial"/>
          <w:sz w:val="18"/>
          <w:szCs w:val="18"/>
        </w:rPr>
        <w:t>’ (Free</w:t>
      </w:r>
      <w:r w:rsidR="00F04EB2" w:rsidRPr="00570EBF">
        <w:rPr>
          <w:rFonts w:ascii="Arial" w:hAnsi="Arial" w:cs="Arial"/>
          <w:sz w:val="18"/>
          <w:szCs w:val="18"/>
        </w:rPr>
        <w:t xml:space="preserve"> M</w:t>
      </w:r>
      <w:r w:rsidRPr="00570EBF">
        <w:rPr>
          <w:rFonts w:ascii="Arial" w:hAnsi="Arial" w:cs="Arial"/>
          <w:sz w:val="18"/>
          <w:szCs w:val="18"/>
        </w:rPr>
        <w:t>ovement, 16 January 2026)</w:t>
      </w:r>
      <w:r w:rsidR="006837A3" w:rsidRPr="00570EBF">
        <w:rPr>
          <w:rFonts w:ascii="Arial" w:hAnsi="Arial" w:cs="Arial"/>
          <w:sz w:val="18"/>
          <w:szCs w:val="18"/>
        </w:rPr>
        <w:t>.</w:t>
      </w:r>
    </w:p>
  </w:footnote>
  <w:footnote w:id="17">
    <w:p w14:paraId="655962FB" w14:textId="291E7562"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Refugee Council, ‘</w:t>
      </w:r>
      <w:hyperlink r:id="rId12" w:history="1">
        <w:r w:rsidRPr="00570EBF">
          <w:rPr>
            <w:rStyle w:val="Hyperlink"/>
            <w:rFonts w:ascii="Arial" w:hAnsi="Arial" w:cs="Arial"/>
            <w:sz w:val="18"/>
            <w:szCs w:val="18"/>
          </w:rPr>
          <w:t>Number of people waiting for asylum appeal almost doubles</w:t>
        </w:r>
      </w:hyperlink>
      <w:r w:rsidRPr="00570EBF">
        <w:rPr>
          <w:rFonts w:ascii="Arial" w:hAnsi="Arial" w:cs="Arial"/>
          <w:sz w:val="18"/>
          <w:szCs w:val="18"/>
        </w:rPr>
        <w:t>’ (12 March 2026).</w:t>
      </w:r>
    </w:p>
  </w:footnote>
  <w:footnote w:id="18">
    <w:p w14:paraId="313724CE" w14:textId="16897339"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House of Commons Constitutional Affairs Committee, </w:t>
      </w:r>
      <w:hyperlink r:id="rId13" w:history="1">
        <w:r w:rsidRPr="00570EBF">
          <w:rPr>
            <w:rStyle w:val="Hyperlink"/>
            <w:rFonts w:ascii="Arial" w:hAnsi="Arial" w:cs="Arial"/>
            <w:sz w:val="18"/>
            <w:szCs w:val="18"/>
          </w:rPr>
          <w:t>Asylum and Immigration Appeals: Second Report of Session 2003-04 Volume I</w:t>
        </w:r>
      </w:hyperlink>
      <w:r w:rsidRPr="00570EBF">
        <w:rPr>
          <w:rFonts w:ascii="Arial" w:hAnsi="Arial" w:cs="Arial"/>
          <w:sz w:val="18"/>
          <w:szCs w:val="18"/>
        </w:rPr>
        <w:t>, para 15.</w:t>
      </w:r>
    </w:p>
  </w:footnote>
  <w:footnote w:id="19">
    <w:p w14:paraId="2BB98BB9" w14:textId="36D9D1B9"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Sonia Lenegan, ‘</w:t>
      </w:r>
      <w:hyperlink r:id="rId14" w:history="1">
        <w:r w:rsidRPr="00570EBF">
          <w:rPr>
            <w:rStyle w:val="Hyperlink"/>
            <w:rFonts w:ascii="Arial" w:hAnsi="Arial" w:cs="Arial"/>
            <w:sz w:val="18"/>
            <w:szCs w:val="18"/>
          </w:rPr>
          <w:t>New legal aid rates for immigration and asylum work to take effect from 22 December 2025</w:t>
        </w:r>
      </w:hyperlink>
      <w:r w:rsidRPr="00570EBF">
        <w:rPr>
          <w:rFonts w:ascii="Arial" w:hAnsi="Arial" w:cs="Arial"/>
          <w:sz w:val="18"/>
          <w:szCs w:val="18"/>
        </w:rPr>
        <w:t>’ (</w:t>
      </w:r>
      <w:proofErr w:type="spellStart"/>
      <w:r w:rsidRPr="00570EBF">
        <w:rPr>
          <w:rFonts w:ascii="Arial" w:hAnsi="Arial" w:cs="Arial"/>
          <w:sz w:val="18"/>
          <w:szCs w:val="18"/>
        </w:rPr>
        <w:t>Freemovement</w:t>
      </w:r>
      <w:proofErr w:type="spellEnd"/>
      <w:r w:rsidRPr="00570EBF">
        <w:rPr>
          <w:rFonts w:ascii="Arial" w:hAnsi="Arial" w:cs="Arial"/>
          <w:sz w:val="18"/>
          <w:szCs w:val="18"/>
        </w:rPr>
        <w:t>, 1 December 2025)</w:t>
      </w:r>
      <w:r w:rsidR="006837A3" w:rsidRPr="00570EBF">
        <w:rPr>
          <w:rFonts w:ascii="Arial" w:hAnsi="Arial" w:cs="Arial"/>
          <w:sz w:val="18"/>
          <w:szCs w:val="18"/>
        </w:rPr>
        <w:t>.</w:t>
      </w:r>
    </w:p>
  </w:footnote>
  <w:footnote w:id="20">
    <w:p w14:paraId="0831F640" w14:textId="77777777" w:rsidR="00651471" w:rsidRPr="00570EBF" w:rsidRDefault="00651471" w:rsidP="00651471">
      <w:pPr>
        <w:pStyle w:val="FootnoteText"/>
        <w:spacing w:line="259" w:lineRule="auto"/>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Constitutional Reform Act 2005; Tribunals, Courts and Enforcement Act 2007.</w:t>
      </w:r>
    </w:p>
  </w:footnote>
  <w:footnote w:id="21">
    <w:p w14:paraId="7FC0B802" w14:textId="0A0015FA"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w:t>
      </w:r>
      <w:r w:rsidR="0056285A" w:rsidRPr="00570EBF">
        <w:rPr>
          <w:rFonts w:ascii="Arial" w:hAnsi="Arial" w:cs="Arial"/>
          <w:sz w:val="18"/>
          <w:szCs w:val="18"/>
        </w:rPr>
        <w:t xml:space="preserve"> (n </w:t>
      </w:r>
      <w:r w:rsidR="0056285A" w:rsidRPr="00570EBF">
        <w:rPr>
          <w:rFonts w:ascii="Arial" w:hAnsi="Arial" w:cs="Arial"/>
          <w:sz w:val="18"/>
          <w:szCs w:val="18"/>
        </w:rPr>
        <w:fldChar w:fldCharType="begin"/>
      </w:r>
      <w:r w:rsidR="0056285A"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56285A" w:rsidRPr="00570EBF">
        <w:rPr>
          <w:rFonts w:ascii="Arial" w:hAnsi="Arial" w:cs="Arial"/>
          <w:sz w:val="18"/>
          <w:szCs w:val="18"/>
        </w:rPr>
      </w:r>
      <w:r w:rsidR="0056285A" w:rsidRPr="00570EBF">
        <w:rPr>
          <w:rFonts w:ascii="Arial" w:hAnsi="Arial" w:cs="Arial"/>
          <w:sz w:val="18"/>
          <w:szCs w:val="18"/>
        </w:rPr>
        <w:fldChar w:fldCharType="separate"/>
      </w:r>
      <w:r w:rsidR="0056285A" w:rsidRPr="00570EBF">
        <w:rPr>
          <w:rFonts w:ascii="Arial" w:hAnsi="Arial" w:cs="Arial"/>
          <w:sz w:val="18"/>
          <w:szCs w:val="18"/>
        </w:rPr>
        <w:t>1</w:t>
      </w:r>
      <w:r w:rsidR="0056285A" w:rsidRPr="00570EBF">
        <w:rPr>
          <w:rFonts w:ascii="Arial" w:hAnsi="Arial" w:cs="Arial"/>
          <w:sz w:val="18"/>
          <w:szCs w:val="18"/>
        </w:rPr>
        <w:fldChar w:fldCharType="end"/>
      </w:r>
      <w:r w:rsidR="0056285A" w:rsidRPr="00570EBF">
        <w:rPr>
          <w:rFonts w:ascii="Arial" w:hAnsi="Arial" w:cs="Arial"/>
          <w:sz w:val="18"/>
          <w:szCs w:val="18"/>
        </w:rPr>
        <w:t>)</w:t>
      </w:r>
      <w:r w:rsidRPr="00570EBF">
        <w:rPr>
          <w:rFonts w:ascii="Arial" w:hAnsi="Arial" w:cs="Arial"/>
          <w:sz w:val="18"/>
          <w:szCs w:val="18"/>
        </w:rPr>
        <w:t xml:space="preserve"> Cl 1(5c).</w:t>
      </w:r>
    </w:p>
  </w:footnote>
  <w:footnote w:id="22">
    <w:p w14:paraId="1F601EDD"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The Tribunal Procedure (First-tier Tribunal) (Immigration and Asylum Chamber) Rules 2014 SI 2604/L31 s.2(1).</w:t>
      </w:r>
    </w:p>
  </w:footnote>
  <w:footnote w:id="23">
    <w:p w14:paraId="458CBAC2" w14:textId="215AFF93"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15" w:anchor=":~:text=Home%20Secretary%20Shabana%20Mahmood%20said,are%20heard%20swiftly%20and%20fairly." w:history="1">
        <w:r w:rsidRPr="00570EBF">
          <w:rPr>
            <w:rStyle w:val="Hyperlink"/>
            <w:rFonts w:ascii="Arial" w:hAnsi="Arial" w:cs="Arial"/>
            <w:sz w:val="18"/>
            <w:szCs w:val="18"/>
          </w:rPr>
          <w:t>‘New independent appeals body to speed up removals’</w:t>
        </w:r>
      </w:hyperlink>
      <w:r w:rsidRPr="00570EBF">
        <w:rPr>
          <w:rFonts w:ascii="Arial" w:hAnsi="Arial" w:cs="Arial"/>
          <w:sz w:val="18"/>
          <w:szCs w:val="18"/>
        </w:rPr>
        <w:t xml:space="preserve"> (30 June 2026).</w:t>
      </w:r>
    </w:p>
  </w:footnote>
  <w:footnote w:id="24">
    <w:p w14:paraId="42E58057" w14:textId="7DC521F8"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Policy </w:t>
      </w:r>
      <w:proofErr w:type="spellStart"/>
      <w:r w:rsidRPr="00570EBF">
        <w:rPr>
          <w:rFonts w:ascii="Arial" w:hAnsi="Arial" w:cs="Arial"/>
          <w:sz w:val="18"/>
          <w:szCs w:val="18"/>
        </w:rPr>
        <w:t>paper,’</w:t>
      </w:r>
      <w:hyperlink r:id="rId16">
        <w:r w:rsidRPr="00570EBF">
          <w:rPr>
            <w:rStyle w:val="Hyperlink"/>
            <w:rFonts w:ascii="Arial" w:hAnsi="Arial" w:cs="Arial"/>
            <w:sz w:val="18"/>
            <w:szCs w:val="18"/>
          </w:rPr>
          <w:t>Restoring</w:t>
        </w:r>
        <w:proofErr w:type="spellEnd"/>
        <w:r w:rsidRPr="00570EBF">
          <w:rPr>
            <w:rStyle w:val="Hyperlink"/>
            <w:rFonts w:ascii="Arial" w:hAnsi="Arial" w:cs="Arial"/>
            <w:sz w:val="18"/>
            <w:szCs w:val="18"/>
          </w:rPr>
          <w:t xml:space="preserve"> Order and Control: A statement on the government’s asylum and returns policy</w:t>
        </w:r>
      </w:hyperlink>
      <w:r w:rsidRPr="00570EBF">
        <w:rPr>
          <w:rFonts w:ascii="Arial" w:hAnsi="Arial" w:cs="Arial"/>
          <w:sz w:val="18"/>
          <w:szCs w:val="18"/>
        </w:rPr>
        <w:t>’ (updated 21 November 2025), parts 1 and 3.</w:t>
      </w:r>
    </w:p>
  </w:footnote>
  <w:footnote w:id="25">
    <w:p w14:paraId="7979579A" w14:textId="2639399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Explanatory Notes</w:t>
      </w:r>
      <w:r w:rsidR="004E112A" w:rsidRPr="00570EBF">
        <w:rPr>
          <w:rFonts w:ascii="Arial" w:hAnsi="Arial" w:cs="Arial"/>
          <w:sz w:val="18"/>
          <w:szCs w:val="18"/>
        </w:rPr>
        <w:t xml:space="preserve"> para 21.</w:t>
      </w:r>
    </w:p>
  </w:footnote>
  <w:footnote w:id="26">
    <w:p w14:paraId="3F22B285"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i/>
          <w:iCs/>
          <w:sz w:val="18"/>
          <w:szCs w:val="18"/>
        </w:rPr>
        <w:t>R (Privacy International) v Investigatory Powers Tribunal</w:t>
      </w:r>
      <w:r w:rsidRPr="00570EBF">
        <w:rPr>
          <w:rFonts w:ascii="Arial" w:hAnsi="Arial" w:cs="Arial"/>
          <w:sz w:val="18"/>
          <w:szCs w:val="18"/>
        </w:rPr>
        <w:t xml:space="preserve"> [2019] UKSC 22.</w:t>
      </w:r>
    </w:p>
  </w:footnote>
  <w:footnote w:id="27">
    <w:p w14:paraId="312770A8" w14:textId="6E4BEB6C" w:rsidR="00651471" w:rsidRPr="00ED1466" w:rsidRDefault="00651471" w:rsidP="00651471">
      <w:pPr>
        <w:pStyle w:val="FootnoteText"/>
        <w:rPr>
          <w:rFonts w:ascii="Arial" w:hAnsi="Arial" w:cs="Arial"/>
          <w:sz w:val="18"/>
          <w:szCs w:val="18"/>
          <w:lang w:val="fr-FR"/>
        </w:rPr>
      </w:pPr>
      <w:r w:rsidRPr="00570EBF">
        <w:rPr>
          <w:rStyle w:val="FootnoteReference"/>
          <w:rFonts w:ascii="Arial" w:hAnsi="Arial" w:cs="Arial"/>
          <w:sz w:val="18"/>
          <w:szCs w:val="18"/>
        </w:rPr>
        <w:footnoteRef/>
      </w:r>
      <w:r w:rsidRPr="00ED1466">
        <w:rPr>
          <w:rFonts w:ascii="Arial" w:hAnsi="Arial" w:cs="Arial"/>
          <w:sz w:val="18"/>
          <w:szCs w:val="18"/>
          <w:lang w:val="fr-FR"/>
        </w:rPr>
        <w:t xml:space="preserve"> </w:t>
      </w:r>
      <w:proofErr w:type="spellStart"/>
      <w:r w:rsidRPr="00ED1466">
        <w:rPr>
          <w:rFonts w:ascii="Arial" w:hAnsi="Arial" w:cs="Arial"/>
          <w:sz w:val="18"/>
          <w:szCs w:val="18"/>
          <w:lang w:val="fr-FR"/>
        </w:rPr>
        <w:t>Ibid</w:t>
      </w:r>
      <w:proofErr w:type="spellEnd"/>
      <w:r w:rsidR="004B1384" w:rsidRPr="00ED1466">
        <w:rPr>
          <w:rFonts w:ascii="Arial" w:hAnsi="Arial" w:cs="Arial"/>
          <w:sz w:val="18"/>
          <w:szCs w:val="18"/>
          <w:lang w:val="fr-FR"/>
        </w:rPr>
        <w:t>,</w:t>
      </w:r>
      <w:r w:rsidRPr="00ED1466">
        <w:rPr>
          <w:rFonts w:ascii="Arial" w:hAnsi="Arial" w:cs="Arial"/>
          <w:sz w:val="18"/>
          <w:szCs w:val="18"/>
          <w:lang w:val="fr-FR"/>
        </w:rPr>
        <w:t xml:space="preserve"> paras 131-32</w:t>
      </w:r>
      <w:r w:rsidR="004B1384" w:rsidRPr="00ED1466">
        <w:rPr>
          <w:rFonts w:ascii="Arial" w:hAnsi="Arial" w:cs="Arial"/>
          <w:sz w:val="18"/>
          <w:szCs w:val="18"/>
          <w:lang w:val="fr-FR"/>
        </w:rPr>
        <w:t>.</w:t>
      </w:r>
    </w:p>
  </w:footnote>
  <w:footnote w:id="28">
    <w:p w14:paraId="2FED98F2" w14:textId="5663B7FF" w:rsidR="00BB5F62" w:rsidRPr="00ED1466" w:rsidRDefault="00BB5F62">
      <w:pPr>
        <w:pStyle w:val="FootnoteText"/>
        <w:rPr>
          <w:lang w:val="fr-FR"/>
        </w:rPr>
      </w:pPr>
      <w:r>
        <w:rPr>
          <w:rStyle w:val="FootnoteReference"/>
        </w:rPr>
        <w:footnoteRef/>
      </w:r>
      <w:r w:rsidRPr="00ED1466">
        <w:rPr>
          <w:lang w:val="fr-FR"/>
        </w:rPr>
        <w:t xml:space="preserve"> </w:t>
      </w:r>
      <w:proofErr w:type="spellStart"/>
      <w:r w:rsidR="00DD1591" w:rsidRPr="00ED1466">
        <w:rPr>
          <w:rFonts w:ascii="Arial" w:hAnsi="Arial" w:cs="Arial"/>
          <w:i/>
          <w:iCs/>
          <w:sz w:val="18"/>
          <w:szCs w:val="18"/>
          <w:lang w:val="fr-FR"/>
        </w:rPr>
        <w:t>Maaouia</w:t>
      </w:r>
      <w:proofErr w:type="spellEnd"/>
      <w:r w:rsidR="00DD1591" w:rsidRPr="00ED1466">
        <w:rPr>
          <w:rFonts w:ascii="Arial" w:hAnsi="Arial" w:cs="Arial"/>
          <w:i/>
          <w:iCs/>
          <w:sz w:val="18"/>
          <w:szCs w:val="18"/>
          <w:lang w:val="fr-FR"/>
        </w:rPr>
        <w:t xml:space="preserve"> v France</w:t>
      </w:r>
      <w:r w:rsidR="00DD1591" w:rsidRPr="00ED1466">
        <w:rPr>
          <w:rFonts w:ascii="Arial" w:hAnsi="Arial" w:cs="Arial"/>
          <w:sz w:val="18"/>
          <w:szCs w:val="18"/>
          <w:lang w:val="fr-FR"/>
        </w:rPr>
        <w:t xml:space="preserve"> </w:t>
      </w:r>
      <w:r w:rsidR="0042300C" w:rsidRPr="00ED1466">
        <w:rPr>
          <w:rFonts w:ascii="Arial" w:hAnsi="Arial" w:cs="Arial"/>
          <w:sz w:val="18"/>
          <w:szCs w:val="18"/>
          <w:lang w:val="fr-FR"/>
        </w:rPr>
        <w:t>[</w:t>
      </w:r>
      <w:r w:rsidR="00DD1591" w:rsidRPr="00ED1466">
        <w:rPr>
          <w:rFonts w:ascii="Arial" w:hAnsi="Arial" w:cs="Arial"/>
          <w:sz w:val="18"/>
          <w:szCs w:val="18"/>
          <w:lang w:val="fr-FR"/>
        </w:rPr>
        <w:t>2000</w:t>
      </w:r>
      <w:r w:rsidR="0042300C" w:rsidRPr="00ED1466">
        <w:rPr>
          <w:rFonts w:ascii="Arial" w:hAnsi="Arial" w:cs="Arial"/>
          <w:sz w:val="18"/>
          <w:szCs w:val="18"/>
          <w:lang w:val="fr-FR"/>
        </w:rPr>
        <w:t>]</w:t>
      </w:r>
      <w:r w:rsidR="00DD1591" w:rsidRPr="00ED1466">
        <w:rPr>
          <w:rFonts w:ascii="Arial" w:hAnsi="Arial" w:cs="Arial"/>
          <w:sz w:val="18"/>
          <w:szCs w:val="18"/>
          <w:lang w:val="fr-FR"/>
        </w:rPr>
        <w:t xml:space="preserve"> 33 EHRR 42</w:t>
      </w:r>
      <w:r w:rsidR="00BA3F84" w:rsidRPr="00ED1466">
        <w:rPr>
          <w:rFonts w:ascii="Arial" w:hAnsi="Arial" w:cs="Arial"/>
          <w:sz w:val="18"/>
          <w:szCs w:val="18"/>
          <w:lang w:val="fr-FR"/>
        </w:rPr>
        <w:t>.</w:t>
      </w:r>
    </w:p>
  </w:footnote>
  <w:footnote w:id="29">
    <w:p w14:paraId="7B9A6D90" w14:textId="29830A8D" w:rsidR="00BA3F84" w:rsidRPr="00BA3F84" w:rsidRDefault="00BA3F84">
      <w:pPr>
        <w:pStyle w:val="FootnoteText"/>
        <w:rPr>
          <w:rFonts w:ascii="Arial" w:hAnsi="Arial" w:cs="Arial"/>
          <w:sz w:val="18"/>
          <w:szCs w:val="18"/>
          <w:lang w:val="en-US"/>
        </w:rPr>
      </w:pPr>
      <w:r w:rsidRPr="00BA3F84">
        <w:rPr>
          <w:rStyle w:val="FootnoteReference"/>
          <w:rFonts w:ascii="Arial" w:hAnsi="Arial" w:cs="Arial"/>
          <w:sz w:val="18"/>
          <w:szCs w:val="18"/>
        </w:rPr>
        <w:footnoteRef/>
      </w:r>
      <w:r w:rsidRPr="00BA3F84">
        <w:rPr>
          <w:rFonts w:ascii="Arial" w:hAnsi="Arial" w:cs="Arial"/>
          <w:sz w:val="18"/>
          <w:szCs w:val="18"/>
        </w:rPr>
        <w:t xml:space="preserve"> </w:t>
      </w:r>
      <w:proofErr w:type="spellStart"/>
      <w:r w:rsidRPr="00BA3F84">
        <w:rPr>
          <w:rFonts w:ascii="Arial" w:eastAsia="Arial" w:hAnsi="Arial" w:cs="Arial"/>
          <w:i/>
          <w:iCs/>
          <w:sz w:val="18"/>
          <w:szCs w:val="18"/>
        </w:rPr>
        <w:t>Gudanaviciene</w:t>
      </w:r>
      <w:proofErr w:type="spellEnd"/>
      <w:r w:rsidRPr="00BA3F84">
        <w:rPr>
          <w:rFonts w:ascii="Arial" w:eastAsia="Arial" w:hAnsi="Arial" w:cs="Arial"/>
          <w:i/>
          <w:iCs/>
          <w:sz w:val="18"/>
          <w:szCs w:val="18"/>
        </w:rPr>
        <w:t xml:space="preserve"> v Director of Legal Aid Casework</w:t>
      </w:r>
      <w:r w:rsidRPr="00BA3F84">
        <w:rPr>
          <w:rFonts w:ascii="Arial" w:eastAsia="Arial" w:hAnsi="Arial" w:cs="Arial"/>
          <w:sz w:val="18"/>
          <w:szCs w:val="18"/>
        </w:rPr>
        <w:t xml:space="preserve"> [2014] EWCA </w:t>
      </w:r>
      <w:proofErr w:type="spellStart"/>
      <w:r w:rsidRPr="00BA3F84">
        <w:rPr>
          <w:rFonts w:ascii="Arial" w:eastAsia="Arial" w:hAnsi="Arial" w:cs="Arial"/>
          <w:sz w:val="18"/>
          <w:szCs w:val="18"/>
        </w:rPr>
        <w:t>Civ</w:t>
      </w:r>
      <w:proofErr w:type="spellEnd"/>
      <w:r w:rsidRPr="00BA3F84">
        <w:rPr>
          <w:rFonts w:ascii="Arial" w:eastAsia="Arial" w:hAnsi="Arial" w:cs="Arial"/>
          <w:sz w:val="18"/>
          <w:szCs w:val="18"/>
        </w:rPr>
        <w:t xml:space="preserve"> 1622</w:t>
      </w:r>
      <w:r>
        <w:rPr>
          <w:rFonts w:ascii="Arial" w:eastAsia="Arial" w:hAnsi="Arial" w:cs="Arial"/>
          <w:sz w:val="18"/>
          <w:szCs w:val="18"/>
        </w:rPr>
        <w:t>.</w:t>
      </w:r>
    </w:p>
  </w:footnote>
  <w:footnote w:id="30">
    <w:p w14:paraId="5119BCCA" w14:textId="4057CEBE"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(n</w:t>
      </w:r>
      <w:r w:rsidR="00B454B1" w:rsidRPr="00570EBF">
        <w:rPr>
          <w:rFonts w:ascii="Arial" w:hAnsi="Arial" w:cs="Arial"/>
          <w:sz w:val="18"/>
          <w:szCs w:val="18"/>
        </w:rPr>
        <w:t xml:space="preserve"> </w:t>
      </w:r>
      <w:r w:rsidR="00B454B1" w:rsidRPr="00570EBF">
        <w:rPr>
          <w:rFonts w:ascii="Arial" w:hAnsi="Arial" w:cs="Arial"/>
          <w:sz w:val="18"/>
          <w:szCs w:val="18"/>
        </w:rPr>
        <w:fldChar w:fldCharType="begin"/>
      </w:r>
      <w:r w:rsidR="00B454B1"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B454B1" w:rsidRPr="00570EBF">
        <w:rPr>
          <w:rFonts w:ascii="Arial" w:hAnsi="Arial" w:cs="Arial"/>
          <w:sz w:val="18"/>
          <w:szCs w:val="18"/>
        </w:rPr>
      </w:r>
      <w:r w:rsidR="00B454B1" w:rsidRPr="00570EBF">
        <w:rPr>
          <w:rFonts w:ascii="Arial" w:hAnsi="Arial" w:cs="Arial"/>
          <w:sz w:val="18"/>
          <w:szCs w:val="18"/>
        </w:rPr>
        <w:fldChar w:fldCharType="separate"/>
      </w:r>
      <w:r w:rsidR="00B454B1" w:rsidRPr="00570EBF">
        <w:rPr>
          <w:rFonts w:ascii="Arial" w:hAnsi="Arial" w:cs="Arial"/>
          <w:sz w:val="18"/>
          <w:szCs w:val="18"/>
        </w:rPr>
        <w:t>1</w:t>
      </w:r>
      <w:r w:rsidR="00B454B1" w:rsidRPr="00570EBF">
        <w:rPr>
          <w:rFonts w:ascii="Arial" w:hAnsi="Arial" w:cs="Arial"/>
          <w:sz w:val="18"/>
          <w:szCs w:val="18"/>
        </w:rPr>
        <w:fldChar w:fldCharType="end"/>
      </w:r>
      <w:r w:rsidRPr="00570EBF">
        <w:rPr>
          <w:rFonts w:ascii="Arial" w:hAnsi="Arial" w:cs="Arial"/>
          <w:sz w:val="18"/>
          <w:szCs w:val="18"/>
        </w:rPr>
        <w:t>), Cl 1(63).</w:t>
      </w:r>
    </w:p>
  </w:footnote>
  <w:footnote w:id="31">
    <w:p w14:paraId="636C7077"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i/>
          <w:iCs/>
          <w:sz w:val="18"/>
          <w:szCs w:val="18"/>
        </w:rPr>
        <w:t xml:space="preserve">Himanshu </w:t>
      </w:r>
      <w:proofErr w:type="spellStart"/>
      <w:r w:rsidRPr="00570EBF">
        <w:rPr>
          <w:rFonts w:ascii="Arial" w:hAnsi="Arial" w:cs="Arial"/>
          <w:i/>
          <w:iCs/>
          <w:sz w:val="18"/>
          <w:szCs w:val="18"/>
        </w:rPr>
        <w:t>Pokhriyal</w:t>
      </w:r>
      <w:proofErr w:type="spellEnd"/>
      <w:r w:rsidRPr="00570EBF">
        <w:rPr>
          <w:rFonts w:ascii="Arial" w:hAnsi="Arial" w:cs="Arial"/>
          <w:i/>
          <w:iCs/>
          <w:sz w:val="18"/>
          <w:szCs w:val="18"/>
        </w:rPr>
        <w:t xml:space="preserve"> v Secretary of State for the Home Department</w:t>
      </w:r>
      <w:r w:rsidRPr="00570EBF">
        <w:rPr>
          <w:rFonts w:ascii="Arial" w:hAnsi="Arial" w:cs="Arial"/>
          <w:sz w:val="18"/>
          <w:szCs w:val="18"/>
        </w:rPr>
        <w:t xml:space="preserve"> [2013] EWCA </w:t>
      </w:r>
      <w:proofErr w:type="spellStart"/>
      <w:r w:rsidRPr="00570EBF">
        <w:rPr>
          <w:rFonts w:ascii="Arial" w:hAnsi="Arial" w:cs="Arial"/>
          <w:sz w:val="18"/>
          <w:szCs w:val="18"/>
        </w:rPr>
        <w:t>Civ</w:t>
      </w:r>
      <w:proofErr w:type="spellEnd"/>
      <w:r w:rsidRPr="00570EBF">
        <w:rPr>
          <w:rFonts w:ascii="Arial" w:hAnsi="Arial" w:cs="Arial"/>
          <w:sz w:val="18"/>
          <w:szCs w:val="18"/>
        </w:rPr>
        <w:t xml:space="preserve"> 1568, para 4.</w:t>
      </w:r>
    </w:p>
  </w:footnote>
  <w:footnote w:id="32">
    <w:p w14:paraId="52237253"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i/>
          <w:iCs/>
          <w:sz w:val="18"/>
          <w:szCs w:val="18"/>
        </w:rPr>
        <w:t>Singh v Secretary of State for the Home Department</w:t>
      </w:r>
      <w:r w:rsidRPr="00570EBF">
        <w:rPr>
          <w:rFonts w:ascii="Arial" w:hAnsi="Arial" w:cs="Arial"/>
          <w:sz w:val="18"/>
          <w:szCs w:val="18"/>
        </w:rPr>
        <w:t xml:space="preserve"> [2015] EWCA </w:t>
      </w:r>
      <w:proofErr w:type="spellStart"/>
      <w:r w:rsidRPr="00570EBF">
        <w:rPr>
          <w:rFonts w:ascii="Arial" w:hAnsi="Arial" w:cs="Arial"/>
          <w:sz w:val="18"/>
          <w:szCs w:val="18"/>
        </w:rPr>
        <w:t>Civ</w:t>
      </w:r>
      <w:proofErr w:type="spellEnd"/>
      <w:r w:rsidRPr="00570EBF">
        <w:rPr>
          <w:rFonts w:ascii="Arial" w:hAnsi="Arial" w:cs="Arial"/>
          <w:sz w:val="18"/>
          <w:szCs w:val="18"/>
        </w:rPr>
        <w:t xml:space="preserve"> 74, para 59.</w:t>
      </w:r>
    </w:p>
  </w:footnote>
  <w:footnote w:id="33">
    <w:p w14:paraId="34E5C5FA"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i/>
          <w:iCs/>
          <w:sz w:val="18"/>
          <w:szCs w:val="18"/>
        </w:rPr>
        <w:t>Mustaj</w:t>
      </w:r>
      <w:proofErr w:type="spellEnd"/>
      <w:r w:rsidRPr="00570EBF">
        <w:rPr>
          <w:rFonts w:ascii="Arial" w:hAnsi="Arial" w:cs="Arial"/>
          <w:i/>
          <w:iCs/>
          <w:sz w:val="18"/>
          <w:szCs w:val="18"/>
        </w:rPr>
        <w:t xml:space="preserve"> v Secretary of State for the Home Department</w:t>
      </w:r>
      <w:r w:rsidRPr="00570EBF">
        <w:rPr>
          <w:rFonts w:ascii="Arial" w:hAnsi="Arial" w:cs="Arial"/>
          <w:sz w:val="18"/>
          <w:szCs w:val="18"/>
        </w:rPr>
        <w:t xml:space="preserve"> [2025] EWCA </w:t>
      </w:r>
      <w:proofErr w:type="spellStart"/>
      <w:r w:rsidRPr="00570EBF">
        <w:rPr>
          <w:rFonts w:ascii="Arial" w:hAnsi="Arial" w:cs="Arial"/>
          <w:sz w:val="18"/>
          <w:szCs w:val="18"/>
        </w:rPr>
        <w:t>Civ</w:t>
      </w:r>
      <w:proofErr w:type="spellEnd"/>
      <w:r w:rsidRPr="00570EBF">
        <w:rPr>
          <w:rFonts w:ascii="Arial" w:hAnsi="Arial" w:cs="Arial"/>
          <w:sz w:val="18"/>
          <w:szCs w:val="18"/>
        </w:rPr>
        <w:t xml:space="preserve"> 663, paras 65, 77, 76.</w:t>
      </w:r>
    </w:p>
  </w:footnote>
  <w:footnote w:id="34">
    <w:p w14:paraId="6DE8C9E8" w14:textId="03A32E56"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(n</w:t>
      </w:r>
      <w:r w:rsidR="000413A8" w:rsidRPr="00570EBF">
        <w:rPr>
          <w:rFonts w:ascii="Arial" w:hAnsi="Arial" w:cs="Arial"/>
          <w:sz w:val="18"/>
          <w:szCs w:val="18"/>
        </w:rPr>
        <w:t xml:space="preserve"> </w:t>
      </w:r>
      <w:r w:rsidR="000413A8" w:rsidRPr="00570EBF">
        <w:rPr>
          <w:rFonts w:ascii="Arial" w:hAnsi="Arial" w:cs="Arial"/>
          <w:sz w:val="18"/>
          <w:szCs w:val="18"/>
        </w:rPr>
        <w:fldChar w:fldCharType="begin"/>
      </w:r>
      <w:r w:rsidR="000413A8"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0413A8" w:rsidRPr="00570EBF">
        <w:rPr>
          <w:rFonts w:ascii="Arial" w:hAnsi="Arial" w:cs="Arial"/>
          <w:sz w:val="18"/>
          <w:szCs w:val="18"/>
        </w:rPr>
      </w:r>
      <w:r w:rsidR="000413A8" w:rsidRPr="00570EBF">
        <w:rPr>
          <w:rFonts w:ascii="Arial" w:hAnsi="Arial" w:cs="Arial"/>
          <w:sz w:val="18"/>
          <w:szCs w:val="18"/>
        </w:rPr>
        <w:fldChar w:fldCharType="separate"/>
      </w:r>
      <w:r w:rsidR="000413A8" w:rsidRPr="00570EBF">
        <w:rPr>
          <w:rFonts w:ascii="Arial" w:hAnsi="Arial" w:cs="Arial"/>
          <w:sz w:val="18"/>
          <w:szCs w:val="18"/>
        </w:rPr>
        <w:t>1</w:t>
      </w:r>
      <w:r w:rsidR="000413A8" w:rsidRPr="00570EBF">
        <w:rPr>
          <w:rFonts w:ascii="Arial" w:hAnsi="Arial" w:cs="Arial"/>
          <w:sz w:val="18"/>
          <w:szCs w:val="18"/>
        </w:rPr>
        <w:fldChar w:fldCharType="end"/>
      </w:r>
      <w:r w:rsidRPr="00570EBF">
        <w:rPr>
          <w:rFonts w:ascii="Arial" w:hAnsi="Arial" w:cs="Arial"/>
          <w:sz w:val="18"/>
          <w:szCs w:val="18"/>
        </w:rPr>
        <w:t>) Cl 3(3d).</w:t>
      </w:r>
    </w:p>
  </w:footnote>
  <w:footnote w:id="35">
    <w:p w14:paraId="1696AB11" w14:textId="7D0805B4"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0413A8" w:rsidRPr="00570EBF">
        <w:rPr>
          <w:rFonts w:ascii="Arial" w:hAnsi="Arial" w:cs="Arial"/>
          <w:sz w:val="18"/>
          <w:szCs w:val="18"/>
        </w:rPr>
        <w:t>Ibid,</w:t>
      </w:r>
      <w:r w:rsidR="004B1384" w:rsidRPr="00570EBF">
        <w:rPr>
          <w:rFonts w:ascii="Arial" w:hAnsi="Arial" w:cs="Arial"/>
          <w:sz w:val="18"/>
          <w:szCs w:val="18"/>
        </w:rPr>
        <w:t xml:space="preserve"> </w:t>
      </w:r>
      <w:r w:rsidRPr="00570EBF">
        <w:rPr>
          <w:rFonts w:ascii="Arial" w:hAnsi="Arial" w:cs="Arial"/>
          <w:sz w:val="18"/>
          <w:szCs w:val="18"/>
        </w:rPr>
        <w:t>Cl 5(1).</w:t>
      </w:r>
    </w:p>
  </w:footnote>
  <w:footnote w:id="36">
    <w:p w14:paraId="2D2D604D"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Ibid, Cl 6(1)(3)(4).</w:t>
      </w:r>
    </w:p>
  </w:footnote>
  <w:footnote w:id="37">
    <w:p w14:paraId="40D43B7F"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 Cl 6(2); Explanatory Notes paras 66, 69.</w:t>
      </w:r>
    </w:p>
  </w:footnote>
  <w:footnote w:id="38">
    <w:p w14:paraId="28FB4297" w14:textId="77777777" w:rsidR="00651471" w:rsidRPr="00570EBF" w:rsidRDefault="00651471" w:rsidP="00651471">
      <w:pPr>
        <w:pStyle w:val="FootnoteText"/>
        <w:rPr>
          <w:rFonts w:ascii="Arial" w:hAnsi="Arial" w:cs="Arial"/>
          <w:sz w:val="18"/>
          <w:szCs w:val="18"/>
          <w:lang w:val="it-IT"/>
        </w:rPr>
      </w:pPr>
      <w:r w:rsidRPr="00570EBF">
        <w:rPr>
          <w:rStyle w:val="FootnoteReference"/>
          <w:rFonts w:ascii="Arial" w:hAnsi="Arial" w:cs="Arial"/>
          <w:sz w:val="18"/>
          <w:szCs w:val="18"/>
        </w:rPr>
        <w:footnoteRef/>
      </w:r>
      <w:r w:rsidRPr="00570EBF">
        <w:rPr>
          <w:rFonts w:ascii="Arial" w:hAnsi="Arial" w:cs="Arial"/>
          <w:sz w:val="18"/>
          <w:szCs w:val="18"/>
          <w:lang w:val="it-IT"/>
        </w:rPr>
        <w:t xml:space="preserve"> </w:t>
      </w:r>
      <w:r w:rsidRPr="00570EBF">
        <w:rPr>
          <w:rFonts w:ascii="Arial" w:hAnsi="Arial" w:cs="Arial"/>
          <w:i/>
          <w:iCs/>
          <w:sz w:val="18"/>
          <w:szCs w:val="18"/>
          <w:lang w:val="it-IT"/>
        </w:rPr>
        <w:t xml:space="preserve">R v </w:t>
      </w:r>
      <w:proofErr w:type="spellStart"/>
      <w:r w:rsidRPr="00570EBF">
        <w:rPr>
          <w:rFonts w:ascii="Arial" w:hAnsi="Arial" w:cs="Arial"/>
          <w:i/>
          <w:iCs/>
          <w:sz w:val="18"/>
          <w:szCs w:val="18"/>
          <w:lang w:val="it-IT"/>
        </w:rPr>
        <w:t>Medical</w:t>
      </w:r>
      <w:proofErr w:type="spellEnd"/>
      <w:r w:rsidRPr="00570EBF">
        <w:rPr>
          <w:rFonts w:ascii="Arial" w:hAnsi="Arial" w:cs="Arial"/>
          <w:i/>
          <w:iCs/>
          <w:sz w:val="18"/>
          <w:szCs w:val="18"/>
          <w:lang w:val="it-IT"/>
        </w:rPr>
        <w:t xml:space="preserve"> Appeal </w:t>
      </w:r>
      <w:proofErr w:type="spellStart"/>
      <w:r w:rsidRPr="00570EBF">
        <w:rPr>
          <w:rFonts w:ascii="Arial" w:hAnsi="Arial" w:cs="Arial"/>
          <w:i/>
          <w:iCs/>
          <w:sz w:val="18"/>
          <w:szCs w:val="18"/>
          <w:lang w:val="it-IT"/>
        </w:rPr>
        <w:t>Tribunal</w:t>
      </w:r>
      <w:proofErr w:type="spellEnd"/>
      <w:r w:rsidRPr="00570EBF">
        <w:rPr>
          <w:rFonts w:ascii="Arial" w:hAnsi="Arial" w:cs="Arial"/>
          <w:i/>
          <w:iCs/>
          <w:sz w:val="18"/>
          <w:szCs w:val="18"/>
          <w:lang w:val="it-IT"/>
        </w:rPr>
        <w:t>, ex parte Gilmore</w:t>
      </w:r>
      <w:r w:rsidRPr="00570EBF">
        <w:rPr>
          <w:rFonts w:ascii="Arial" w:hAnsi="Arial" w:cs="Arial"/>
          <w:sz w:val="18"/>
          <w:szCs w:val="18"/>
          <w:lang w:val="it-IT"/>
        </w:rPr>
        <w:t xml:space="preserve"> [1957] EWCA </w:t>
      </w:r>
      <w:proofErr w:type="spellStart"/>
      <w:r w:rsidRPr="00570EBF">
        <w:rPr>
          <w:rFonts w:ascii="Arial" w:hAnsi="Arial" w:cs="Arial"/>
          <w:sz w:val="18"/>
          <w:szCs w:val="18"/>
          <w:lang w:val="it-IT"/>
        </w:rPr>
        <w:t>Civ</w:t>
      </w:r>
      <w:proofErr w:type="spellEnd"/>
      <w:r w:rsidRPr="00570EBF">
        <w:rPr>
          <w:rFonts w:ascii="Arial" w:hAnsi="Arial" w:cs="Arial"/>
          <w:sz w:val="18"/>
          <w:szCs w:val="18"/>
          <w:lang w:val="it-IT"/>
        </w:rPr>
        <w:t xml:space="preserve"> 1.</w:t>
      </w:r>
    </w:p>
  </w:footnote>
  <w:footnote w:id="39">
    <w:p w14:paraId="4A367153" w14:textId="26354E85"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0413A8" w:rsidRPr="00570EBF">
        <w:rPr>
          <w:rFonts w:ascii="Arial" w:hAnsi="Arial" w:cs="Arial"/>
          <w:sz w:val="18"/>
          <w:szCs w:val="18"/>
        </w:rPr>
        <w:t xml:space="preserve">(n </w:t>
      </w:r>
      <w:r w:rsidR="000413A8" w:rsidRPr="00570EBF">
        <w:rPr>
          <w:rFonts w:ascii="Arial" w:hAnsi="Arial" w:cs="Arial"/>
          <w:sz w:val="18"/>
          <w:szCs w:val="18"/>
        </w:rPr>
        <w:fldChar w:fldCharType="begin"/>
      </w:r>
      <w:r w:rsidR="000413A8"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0413A8" w:rsidRPr="00570EBF">
        <w:rPr>
          <w:rFonts w:ascii="Arial" w:hAnsi="Arial" w:cs="Arial"/>
          <w:sz w:val="18"/>
          <w:szCs w:val="18"/>
        </w:rPr>
      </w:r>
      <w:r w:rsidR="000413A8" w:rsidRPr="00570EBF">
        <w:rPr>
          <w:rFonts w:ascii="Arial" w:hAnsi="Arial" w:cs="Arial"/>
          <w:sz w:val="18"/>
          <w:szCs w:val="18"/>
        </w:rPr>
        <w:fldChar w:fldCharType="separate"/>
      </w:r>
      <w:r w:rsidR="000413A8" w:rsidRPr="00570EBF">
        <w:rPr>
          <w:rFonts w:ascii="Arial" w:hAnsi="Arial" w:cs="Arial"/>
          <w:sz w:val="18"/>
          <w:szCs w:val="18"/>
        </w:rPr>
        <w:t>1</w:t>
      </w:r>
      <w:r w:rsidR="000413A8" w:rsidRPr="00570EBF">
        <w:rPr>
          <w:rFonts w:ascii="Arial" w:hAnsi="Arial" w:cs="Arial"/>
          <w:sz w:val="18"/>
          <w:szCs w:val="18"/>
        </w:rPr>
        <w:fldChar w:fldCharType="end"/>
      </w:r>
      <w:r w:rsidR="000413A8" w:rsidRPr="00570EBF">
        <w:rPr>
          <w:rFonts w:ascii="Arial" w:hAnsi="Arial" w:cs="Arial"/>
          <w:sz w:val="18"/>
          <w:szCs w:val="18"/>
        </w:rPr>
        <w:t xml:space="preserve">) </w:t>
      </w:r>
      <w:r w:rsidRPr="00570EBF">
        <w:rPr>
          <w:rFonts w:ascii="Arial" w:hAnsi="Arial" w:cs="Arial"/>
          <w:sz w:val="18"/>
          <w:szCs w:val="18"/>
        </w:rPr>
        <w:t>Cl 6(4).</w:t>
      </w:r>
    </w:p>
  </w:footnote>
  <w:footnote w:id="40">
    <w:p w14:paraId="25A64828" w14:textId="4382024B"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0413A8" w:rsidRPr="00570EBF">
        <w:rPr>
          <w:rFonts w:ascii="Arial" w:hAnsi="Arial" w:cs="Arial"/>
          <w:sz w:val="18"/>
          <w:szCs w:val="18"/>
        </w:rPr>
        <w:t>Ibid</w:t>
      </w:r>
      <w:r w:rsidRPr="00570EBF">
        <w:rPr>
          <w:rFonts w:ascii="Arial" w:hAnsi="Arial" w:cs="Arial"/>
          <w:sz w:val="18"/>
          <w:szCs w:val="18"/>
        </w:rPr>
        <w:t xml:space="preserve"> Explanatory Notes para 22.</w:t>
      </w:r>
    </w:p>
  </w:footnote>
  <w:footnote w:id="41">
    <w:p w14:paraId="772AF98C"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Practice Statements of the Immigration and Asylum Chambers of the First-tier Tribunal and the Upper Tribunal, 11 June 2018, para 7.2.</w:t>
      </w:r>
    </w:p>
  </w:footnote>
  <w:footnote w:id="42">
    <w:p w14:paraId="46B479F4"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See </w:t>
      </w:r>
      <w:r w:rsidRPr="00570EBF">
        <w:rPr>
          <w:rFonts w:ascii="Arial" w:hAnsi="Arial" w:cs="Arial"/>
          <w:i/>
          <w:iCs/>
          <w:sz w:val="18"/>
          <w:szCs w:val="18"/>
        </w:rPr>
        <w:t>AEB v Secretary of State for the Home Department</w:t>
      </w:r>
      <w:r w:rsidRPr="00570EBF">
        <w:rPr>
          <w:rFonts w:ascii="Arial" w:hAnsi="Arial" w:cs="Arial"/>
          <w:sz w:val="18"/>
          <w:szCs w:val="18"/>
        </w:rPr>
        <w:t xml:space="preserve"> [2022] EWCA </w:t>
      </w:r>
      <w:proofErr w:type="spellStart"/>
      <w:r w:rsidRPr="00570EBF">
        <w:rPr>
          <w:rFonts w:ascii="Arial" w:hAnsi="Arial" w:cs="Arial"/>
          <w:sz w:val="18"/>
          <w:szCs w:val="18"/>
        </w:rPr>
        <w:t>Civ</w:t>
      </w:r>
      <w:proofErr w:type="spellEnd"/>
      <w:r w:rsidRPr="00570EBF">
        <w:rPr>
          <w:rFonts w:ascii="Arial" w:hAnsi="Arial" w:cs="Arial"/>
          <w:sz w:val="18"/>
          <w:szCs w:val="18"/>
        </w:rPr>
        <w:t xml:space="preserve"> 1112, </w:t>
      </w:r>
      <w:r w:rsidRPr="00570EBF">
        <w:rPr>
          <w:rFonts w:ascii="Arial" w:hAnsi="Arial" w:cs="Arial"/>
          <w:i/>
          <w:iCs/>
          <w:sz w:val="18"/>
          <w:szCs w:val="18"/>
        </w:rPr>
        <w:t>Begum (Remaking or remittal) Bangladesh</w:t>
      </w:r>
      <w:r w:rsidRPr="00570EBF">
        <w:rPr>
          <w:rFonts w:ascii="Arial" w:hAnsi="Arial" w:cs="Arial"/>
          <w:sz w:val="18"/>
          <w:szCs w:val="18"/>
        </w:rPr>
        <w:t xml:space="preserve"> [2023] UKUT 46 (IAC), and </w:t>
      </w:r>
      <w:r w:rsidRPr="00570EBF">
        <w:rPr>
          <w:rFonts w:ascii="Arial" w:hAnsi="Arial" w:cs="Arial"/>
          <w:i/>
          <w:iCs/>
          <w:sz w:val="18"/>
          <w:szCs w:val="18"/>
        </w:rPr>
        <w:t>R (on the application of Majera) v Secretary of State for the Home Department</w:t>
      </w:r>
      <w:r w:rsidRPr="00570EBF">
        <w:rPr>
          <w:rFonts w:ascii="Arial" w:hAnsi="Arial" w:cs="Arial"/>
          <w:sz w:val="18"/>
          <w:szCs w:val="18"/>
        </w:rPr>
        <w:t xml:space="preserve"> [2021] UKSC 46.</w:t>
      </w:r>
    </w:p>
  </w:footnote>
  <w:footnote w:id="43">
    <w:p w14:paraId="14B7567E" w14:textId="77777777" w:rsidR="00651471" w:rsidRPr="00570EBF" w:rsidRDefault="00651471" w:rsidP="00651471">
      <w:pPr>
        <w:pStyle w:val="FootnoteText"/>
        <w:rPr>
          <w:rFonts w:ascii="Arial" w:hAnsi="Arial" w:cs="Arial"/>
          <w:color w:val="000000" w:themeColor="text1"/>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sz w:val="18"/>
          <w:szCs w:val="18"/>
          <w:lang w:val="en-US"/>
        </w:rPr>
        <w:t xml:space="preserve">Tribunals, Courts and Enforcement Act 2007, </w:t>
      </w:r>
      <w:proofErr w:type="gramStart"/>
      <w:r w:rsidRPr="00570EBF">
        <w:rPr>
          <w:rFonts w:ascii="Arial" w:hAnsi="Arial" w:cs="Arial"/>
          <w:sz w:val="18"/>
          <w:szCs w:val="18"/>
          <w:lang w:val="en-US"/>
        </w:rPr>
        <w:t>s.(</w:t>
      </w:r>
      <w:proofErr w:type="gramEnd"/>
      <w:r w:rsidRPr="00570EBF">
        <w:rPr>
          <w:rFonts w:ascii="Arial" w:hAnsi="Arial" w:cs="Arial"/>
          <w:sz w:val="18"/>
          <w:szCs w:val="18"/>
          <w:lang w:val="en-US"/>
        </w:rPr>
        <w:t>9-14).</w:t>
      </w:r>
    </w:p>
  </w:footnote>
  <w:footnote w:id="44">
    <w:p w14:paraId="587DD2E0" w14:textId="6611FD69"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sz w:val="18"/>
          <w:szCs w:val="18"/>
          <w:lang w:val="en-US"/>
        </w:rPr>
        <w:t>Immigration and Asylum Bill</w:t>
      </w:r>
      <w:r w:rsidR="000413A8" w:rsidRPr="00570EBF">
        <w:rPr>
          <w:rFonts w:ascii="Arial" w:hAnsi="Arial" w:cs="Arial"/>
          <w:sz w:val="18"/>
          <w:szCs w:val="18"/>
          <w:lang w:val="en-US"/>
        </w:rPr>
        <w:t xml:space="preserve"> (n</w:t>
      </w:r>
      <w:r w:rsidR="000413A8" w:rsidRPr="00570EBF">
        <w:rPr>
          <w:rFonts w:ascii="Arial" w:hAnsi="Arial" w:cs="Arial"/>
          <w:sz w:val="18"/>
          <w:szCs w:val="18"/>
          <w:lang w:val="en-US"/>
        </w:rPr>
        <w:fldChar w:fldCharType="begin"/>
      </w:r>
      <w:r w:rsidR="000413A8" w:rsidRPr="00570EBF">
        <w:rPr>
          <w:rFonts w:ascii="Arial" w:hAnsi="Arial" w:cs="Arial"/>
          <w:sz w:val="18"/>
          <w:szCs w:val="18"/>
          <w:lang w:val="en-US"/>
        </w:rPr>
        <w:instrText xml:space="preserve"> NOTEREF _Ref234483691 \h </w:instrText>
      </w:r>
      <w:r w:rsidR="00624A32" w:rsidRPr="00570EBF">
        <w:rPr>
          <w:rFonts w:ascii="Arial" w:hAnsi="Arial" w:cs="Arial"/>
          <w:sz w:val="18"/>
          <w:szCs w:val="18"/>
          <w:lang w:val="en-US"/>
        </w:rPr>
        <w:instrText xml:space="preserve"> \* MERGEFORMAT </w:instrText>
      </w:r>
      <w:r w:rsidR="000413A8" w:rsidRPr="00570EBF">
        <w:rPr>
          <w:rFonts w:ascii="Arial" w:hAnsi="Arial" w:cs="Arial"/>
          <w:sz w:val="18"/>
          <w:szCs w:val="18"/>
          <w:lang w:val="en-US"/>
        </w:rPr>
      </w:r>
      <w:r w:rsidR="000413A8" w:rsidRPr="00570EBF">
        <w:rPr>
          <w:rFonts w:ascii="Arial" w:hAnsi="Arial" w:cs="Arial"/>
          <w:sz w:val="18"/>
          <w:szCs w:val="18"/>
          <w:lang w:val="en-US"/>
        </w:rPr>
        <w:fldChar w:fldCharType="separate"/>
      </w:r>
      <w:r w:rsidR="000413A8" w:rsidRPr="00570EBF">
        <w:rPr>
          <w:rFonts w:ascii="Arial" w:hAnsi="Arial" w:cs="Arial"/>
          <w:sz w:val="18"/>
          <w:szCs w:val="18"/>
          <w:lang w:val="en-US"/>
        </w:rPr>
        <w:t>1</w:t>
      </w:r>
      <w:r w:rsidR="000413A8" w:rsidRPr="00570EBF">
        <w:rPr>
          <w:rFonts w:ascii="Arial" w:hAnsi="Arial" w:cs="Arial"/>
          <w:sz w:val="18"/>
          <w:szCs w:val="18"/>
          <w:lang w:val="en-US"/>
        </w:rPr>
        <w:fldChar w:fldCharType="end"/>
      </w:r>
      <w:r w:rsidR="000413A8" w:rsidRPr="00570EBF">
        <w:rPr>
          <w:rFonts w:ascii="Arial" w:hAnsi="Arial" w:cs="Arial"/>
          <w:sz w:val="18"/>
          <w:szCs w:val="18"/>
          <w:lang w:val="en-US"/>
        </w:rPr>
        <w:t>)</w:t>
      </w:r>
      <w:r w:rsidRPr="00570EBF">
        <w:rPr>
          <w:rFonts w:ascii="Arial" w:hAnsi="Arial" w:cs="Arial"/>
          <w:sz w:val="18"/>
          <w:szCs w:val="18"/>
          <w:lang w:val="en-US"/>
        </w:rPr>
        <w:t xml:space="preserve"> Schedule 2 para 11.</w:t>
      </w:r>
    </w:p>
  </w:footnote>
  <w:footnote w:id="45">
    <w:p w14:paraId="6E0FB091" w14:textId="63F7000F"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Tribunals, Courts and Enforcement Act 2007</w:t>
      </w:r>
      <w:r w:rsidR="000413A8" w:rsidRPr="00570EBF">
        <w:rPr>
          <w:rFonts w:ascii="Arial" w:hAnsi="Arial" w:cs="Arial"/>
          <w:sz w:val="18"/>
          <w:szCs w:val="18"/>
        </w:rPr>
        <w:t xml:space="preserve"> (n </w:t>
      </w:r>
      <w:r w:rsidR="006307CF" w:rsidRPr="00570EBF">
        <w:rPr>
          <w:rFonts w:ascii="Arial" w:hAnsi="Arial" w:cs="Arial"/>
          <w:sz w:val="18"/>
          <w:szCs w:val="18"/>
        </w:rPr>
        <w:fldChar w:fldCharType="begin"/>
      </w:r>
      <w:r w:rsidR="006307CF" w:rsidRPr="00570EBF">
        <w:rPr>
          <w:rFonts w:ascii="Arial" w:hAnsi="Arial" w:cs="Arial"/>
          <w:sz w:val="18"/>
          <w:szCs w:val="18"/>
        </w:rPr>
        <w:instrText xml:space="preserve"> NOTEREF _Ref234484037 \h </w:instrText>
      </w:r>
      <w:r w:rsidR="00624A32" w:rsidRPr="00570EBF">
        <w:rPr>
          <w:rFonts w:ascii="Arial" w:hAnsi="Arial" w:cs="Arial"/>
          <w:sz w:val="18"/>
          <w:szCs w:val="18"/>
        </w:rPr>
        <w:instrText xml:space="preserve"> \* MERGEFORMAT </w:instrText>
      </w:r>
      <w:r w:rsidR="006307CF" w:rsidRPr="00570EBF">
        <w:rPr>
          <w:rFonts w:ascii="Arial" w:hAnsi="Arial" w:cs="Arial"/>
          <w:sz w:val="18"/>
          <w:szCs w:val="18"/>
        </w:rPr>
      </w:r>
      <w:r w:rsidR="006307CF" w:rsidRPr="00570EBF">
        <w:rPr>
          <w:rFonts w:ascii="Arial" w:hAnsi="Arial" w:cs="Arial"/>
          <w:sz w:val="18"/>
          <w:szCs w:val="18"/>
        </w:rPr>
        <w:fldChar w:fldCharType="separate"/>
      </w:r>
      <w:r w:rsidR="006307CF" w:rsidRPr="00570EBF">
        <w:rPr>
          <w:rFonts w:ascii="Arial" w:hAnsi="Arial" w:cs="Arial"/>
          <w:sz w:val="18"/>
          <w:szCs w:val="18"/>
        </w:rPr>
        <w:t>20</w:t>
      </w:r>
      <w:r w:rsidR="006307CF" w:rsidRPr="00570EBF">
        <w:rPr>
          <w:rFonts w:ascii="Arial" w:hAnsi="Arial" w:cs="Arial"/>
          <w:sz w:val="18"/>
          <w:szCs w:val="18"/>
        </w:rPr>
        <w:fldChar w:fldCharType="end"/>
      </w:r>
      <w:r w:rsidR="006307CF" w:rsidRPr="00570EBF">
        <w:rPr>
          <w:rFonts w:ascii="Arial" w:hAnsi="Arial" w:cs="Arial"/>
          <w:sz w:val="18"/>
          <w:szCs w:val="18"/>
        </w:rPr>
        <w:t>)</w:t>
      </w:r>
      <w:r w:rsidRPr="00570EBF">
        <w:rPr>
          <w:rFonts w:ascii="Arial" w:hAnsi="Arial" w:cs="Arial"/>
          <w:sz w:val="18"/>
          <w:szCs w:val="18"/>
        </w:rPr>
        <w:t xml:space="preserve">, s.29(1)(4)(5)(6); Immigration and Asylum Bill </w:t>
      </w:r>
      <w:r w:rsidR="00621CC0" w:rsidRPr="00570EBF">
        <w:rPr>
          <w:rFonts w:ascii="Arial" w:hAnsi="Arial" w:cs="Arial"/>
          <w:sz w:val="18"/>
          <w:szCs w:val="18"/>
        </w:rPr>
        <w:t xml:space="preserve">(n </w:t>
      </w:r>
      <w:r w:rsidR="00621CC0" w:rsidRPr="00570EBF">
        <w:rPr>
          <w:rFonts w:ascii="Arial" w:hAnsi="Arial" w:cs="Arial"/>
          <w:sz w:val="18"/>
          <w:szCs w:val="18"/>
        </w:rPr>
        <w:fldChar w:fldCharType="begin"/>
      </w:r>
      <w:r w:rsidR="00621CC0"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621CC0" w:rsidRPr="00570EBF">
        <w:rPr>
          <w:rFonts w:ascii="Arial" w:hAnsi="Arial" w:cs="Arial"/>
          <w:sz w:val="18"/>
          <w:szCs w:val="18"/>
        </w:rPr>
      </w:r>
      <w:r w:rsidR="00621CC0" w:rsidRPr="00570EBF">
        <w:rPr>
          <w:rFonts w:ascii="Arial" w:hAnsi="Arial" w:cs="Arial"/>
          <w:sz w:val="18"/>
          <w:szCs w:val="18"/>
        </w:rPr>
        <w:fldChar w:fldCharType="separate"/>
      </w:r>
      <w:r w:rsidR="00621CC0" w:rsidRPr="00570EBF">
        <w:rPr>
          <w:rFonts w:ascii="Arial" w:hAnsi="Arial" w:cs="Arial"/>
          <w:sz w:val="18"/>
          <w:szCs w:val="18"/>
        </w:rPr>
        <w:t>1</w:t>
      </w:r>
      <w:r w:rsidR="00621CC0" w:rsidRPr="00570EBF">
        <w:rPr>
          <w:rFonts w:ascii="Arial" w:hAnsi="Arial" w:cs="Arial"/>
          <w:sz w:val="18"/>
          <w:szCs w:val="18"/>
        </w:rPr>
        <w:fldChar w:fldCharType="end"/>
      </w:r>
      <w:r w:rsidR="00621CC0" w:rsidRPr="00570EBF">
        <w:rPr>
          <w:rFonts w:ascii="Arial" w:hAnsi="Arial" w:cs="Arial"/>
          <w:sz w:val="18"/>
          <w:szCs w:val="18"/>
        </w:rPr>
        <w:t xml:space="preserve">) </w:t>
      </w:r>
      <w:r w:rsidRPr="00570EBF">
        <w:rPr>
          <w:rFonts w:ascii="Arial" w:hAnsi="Arial" w:cs="Arial"/>
          <w:sz w:val="18"/>
          <w:szCs w:val="18"/>
        </w:rPr>
        <w:t>Cl 10(1)(3)(4).</w:t>
      </w:r>
    </w:p>
  </w:footnote>
  <w:footnote w:id="46">
    <w:p w14:paraId="6AF598AB" w14:textId="46D9474E"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sz w:val="18"/>
          <w:szCs w:val="18"/>
        </w:rPr>
        <w:t>Tigs</w:t>
      </w:r>
      <w:proofErr w:type="spellEnd"/>
      <w:r w:rsidRPr="00570EBF">
        <w:rPr>
          <w:rFonts w:ascii="Arial" w:hAnsi="Arial" w:cs="Arial"/>
          <w:sz w:val="18"/>
          <w:szCs w:val="18"/>
        </w:rPr>
        <w:t xml:space="preserve"> Louis-Puttick and Lauren Fox, ‘</w:t>
      </w:r>
      <w:hyperlink r:id="rId17" w:history="1">
        <w:r w:rsidRPr="00570EBF">
          <w:rPr>
            <w:rStyle w:val="Hyperlink"/>
            <w:rFonts w:ascii="Arial" w:hAnsi="Arial" w:cs="Arial"/>
            <w:sz w:val="18"/>
            <w:szCs w:val="18"/>
          </w:rPr>
          <w:t>Monitoring access to justice in immigration detention</w:t>
        </w:r>
      </w:hyperlink>
      <w:r w:rsidRPr="00570EBF">
        <w:rPr>
          <w:rFonts w:ascii="Arial" w:hAnsi="Arial" w:cs="Arial"/>
          <w:sz w:val="18"/>
          <w:szCs w:val="18"/>
        </w:rPr>
        <w:t>’ (Bail for Immigration Detainees, June 2026</w:t>
      </w:r>
      <w:r w:rsidR="004E112A" w:rsidRPr="00570EBF">
        <w:rPr>
          <w:rFonts w:ascii="Arial" w:hAnsi="Arial" w:cs="Arial"/>
          <w:sz w:val="18"/>
          <w:szCs w:val="18"/>
        </w:rPr>
        <w:t xml:space="preserve">) </w:t>
      </w:r>
      <w:r w:rsidRPr="00570EBF">
        <w:rPr>
          <w:rFonts w:ascii="Arial" w:hAnsi="Arial" w:cs="Arial"/>
          <w:sz w:val="18"/>
          <w:szCs w:val="18"/>
        </w:rPr>
        <w:t>3</w:t>
      </w:r>
      <w:r w:rsidR="004E112A" w:rsidRPr="00570EBF">
        <w:rPr>
          <w:rFonts w:ascii="Arial" w:hAnsi="Arial" w:cs="Arial"/>
          <w:sz w:val="18"/>
          <w:szCs w:val="18"/>
        </w:rPr>
        <w:t>.</w:t>
      </w:r>
    </w:p>
  </w:footnote>
  <w:footnote w:id="47">
    <w:p w14:paraId="6AEECAD6" w14:textId="0D87260C"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Medical Justice, ‘</w:t>
      </w:r>
      <w:hyperlink r:id="rId18" w:history="1">
        <w:r w:rsidRPr="00570EBF">
          <w:rPr>
            <w:rStyle w:val="Hyperlink"/>
            <w:rFonts w:ascii="Arial" w:hAnsi="Arial" w:cs="Arial"/>
            <w:sz w:val="18"/>
            <w:szCs w:val="18"/>
          </w:rPr>
          <w:t>Barriers to Disclosure: A survivor of trafficking’s journey through the immigration process</w:t>
        </w:r>
      </w:hyperlink>
      <w:r w:rsidRPr="00570EBF">
        <w:rPr>
          <w:rFonts w:ascii="Arial" w:hAnsi="Arial" w:cs="Arial"/>
          <w:sz w:val="18"/>
          <w:szCs w:val="18"/>
        </w:rPr>
        <w:t>’ (March 2026).</w:t>
      </w:r>
    </w:p>
  </w:footnote>
  <w:footnote w:id="48">
    <w:p w14:paraId="65E8512D" w14:textId="20F7125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BID report (n </w:t>
      </w:r>
      <w:r w:rsidRPr="00570EBF">
        <w:rPr>
          <w:rFonts w:ascii="Arial" w:hAnsi="Arial" w:cs="Arial"/>
          <w:sz w:val="18"/>
          <w:szCs w:val="18"/>
        </w:rPr>
        <w:fldChar w:fldCharType="begin"/>
      </w:r>
      <w:r w:rsidRPr="00570EBF">
        <w:rPr>
          <w:rFonts w:ascii="Arial" w:hAnsi="Arial" w:cs="Arial"/>
          <w:sz w:val="18"/>
          <w:szCs w:val="18"/>
        </w:rPr>
        <w:instrText xml:space="preserve"> NOTEREF _Ref234321699 \h </w:instrText>
      </w:r>
      <w:r w:rsidR="00F33CDC" w:rsidRPr="00570EBF">
        <w:rPr>
          <w:rFonts w:ascii="Arial" w:hAnsi="Arial" w:cs="Arial"/>
          <w:sz w:val="18"/>
          <w:szCs w:val="18"/>
        </w:rPr>
        <w:instrText xml:space="preserve"> \* MERGEFORMAT </w:instrText>
      </w:r>
      <w:r w:rsidRPr="00570EBF">
        <w:rPr>
          <w:rFonts w:ascii="Arial" w:hAnsi="Arial" w:cs="Arial"/>
          <w:sz w:val="18"/>
          <w:szCs w:val="18"/>
        </w:rPr>
      </w:r>
      <w:r w:rsidRPr="00570EBF">
        <w:rPr>
          <w:rFonts w:ascii="Arial" w:hAnsi="Arial" w:cs="Arial"/>
          <w:sz w:val="18"/>
          <w:szCs w:val="18"/>
        </w:rPr>
        <w:fldChar w:fldCharType="separate"/>
      </w:r>
      <w:r w:rsidRPr="00570EBF">
        <w:rPr>
          <w:rFonts w:ascii="Arial" w:hAnsi="Arial" w:cs="Arial"/>
          <w:sz w:val="18"/>
          <w:szCs w:val="18"/>
        </w:rPr>
        <w:t>44</w:t>
      </w:r>
      <w:r w:rsidRPr="00570EBF">
        <w:rPr>
          <w:rFonts w:ascii="Arial" w:hAnsi="Arial" w:cs="Arial"/>
          <w:sz w:val="18"/>
          <w:szCs w:val="18"/>
        </w:rPr>
        <w:fldChar w:fldCharType="end"/>
      </w:r>
      <w:r w:rsidRPr="00570EBF">
        <w:rPr>
          <w:rFonts w:ascii="Arial" w:hAnsi="Arial" w:cs="Arial"/>
          <w:sz w:val="18"/>
          <w:szCs w:val="18"/>
        </w:rPr>
        <w:t>), 4.</w:t>
      </w:r>
    </w:p>
  </w:footnote>
  <w:footnote w:id="49">
    <w:p w14:paraId="1C7F18AC"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Convention relating to the Status of Refugees (28 July 1951), Article 33(1); Convention for the Protection of Human Rights and Fundamental Freedoms (1950) Article 3.</w:t>
      </w:r>
    </w:p>
  </w:footnote>
  <w:footnote w:id="50">
    <w:p w14:paraId="52E2327C" w14:textId="41875432"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ECHR (n </w:t>
      </w:r>
      <w:r w:rsidRPr="00570EBF">
        <w:rPr>
          <w:rFonts w:ascii="Arial" w:hAnsi="Arial" w:cs="Arial"/>
          <w:sz w:val="18"/>
          <w:szCs w:val="18"/>
        </w:rPr>
        <w:fldChar w:fldCharType="begin"/>
      </w:r>
      <w:r w:rsidRPr="00570EBF">
        <w:rPr>
          <w:rFonts w:ascii="Arial" w:hAnsi="Arial" w:cs="Arial"/>
          <w:sz w:val="18"/>
          <w:szCs w:val="18"/>
        </w:rPr>
        <w:instrText xml:space="preserve"> NOTEREF _Ref234322107 \h </w:instrText>
      </w:r>
      <w:r w:rsidR="00F33CDC" w:rsidRPr="00570EBF">
        <w:rPr>
          <w:rFonts w:ascii="Arial" w:hAnsi="Arial" w:cs="Arial"/>
          <w:sz w:val="18"/>
          <w:szCs w:val="18"/>
        </w:rPr>
        <w:instrText xml:space="preserve"> \* MERGEFORMAT </w:instrText>
      </w:r>
      <w:r w:rsidRPr="00570EBF">
        <w:rPr>
          <w:rFonts w:ascii="Arial" w:hAnsi="Arial" w:cs="Arial"/>
          <w:sz w:val="18"/>
          <w:szCs w:val="18"/>
        </w:rPr>
      </w:r>
      <w:r w:rsidRPr="00570EBF">
        <w:rPr>
          <w:rFonts w:ascii="Arial" w:hAnsi="Arial" w:cs="Arial"/>
          <w:sz w:val="18"/>
          <w:szCs w:val="18"/>
        </w:rPr>
        <w:fldChar w:fldCharType="separate"/>
      </w:r>
      <w:r w:rsidRPr="00570EBF">
        <w:rPr>
          <w:rFonts w:ascii="Arial" w:hAnsi="Arial" w:cs="Arial"/>
          <w:sz w:val="18"/>
          <w:szCs w:val="18"/>
        </w:rPr>
        <w:t>47</w:t>
      </w:r>
      <w:r w:rsidRPr="00570EBF">
        <w:rPr>
          <w:rFonts w:ascii="Arial" w:hAnsi="Arial" w:cs="Arial"/>
          <w:sz w:val="18"/>
          <w:szCs w:val="18"/>
        </w:rPr>
        <w:fldChar w:fldCharType="end"/>
      </w:r>
      <w:r w:rsidRPr="00570EBF">
        <w:rPr>
          <w:rFonts w:ascii="Arial" w:hAnsi="Arial" w:cs="Arial"/>
          <w:sz w:val="18"/>
          <w:szCs w:val="18"/>
        </w:rPr>
        <w:t>) Article 4; Council of Europe Convention on Action against Trafficking in Human Beings CM 8414.</w:t>
      </w:r>
    </w:p>
  </w:footnote>
  <w:footnote w:id="51">
    <w:p w14:paraId="4AB79B22"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i/>
          <w:iCs/>
          <w:sz w:val="18"/>
          <w:szCs w:val="18"/>
        </w:rPr>
        <w:t>Rantsev</w:t>
      </w:r>
      <w:proofErr w:type="spellEnd"/>
      <w:r w:rsidRPr="00570EBF">
        <w:rPr>
          <w:rFonts w:ascii="Arial" w:hAnsi="Arial" w:cs="Arial"/>
          <w:i/>
          <w:iCs/>
          <w:sz w:val="18"/>
          <w:szCs w:val="18"/>
        </w:rPr>
        <w:t xml:space="preserve"> v. Cyprus and Russia</w:t>
      </w:r>
      <w:r w:rsidRPr="00570EBF">
        <w:rPr>
          <w:rFonts w:ascii="Arial" w:hAnsi="Arial" w:cs="Arial"/>
          <w:sz w:val="18"/>
          <w:szCs w:val="18"/>
        </w:rPr>
        <w:t xml:space="preserve"> (25965/04) [2010] para 285.</w:t>
      </w:r>
    </w:p>
  </w:footnote>
  <w:footnote w:id="52">
    <w:p w14:paraId="00C74A43" w14:textId="7FB5CBAA"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ECAT (n </w:t>
      </w:r>
      <w:r w:rsidRPr="00570EBF">
        <w:rPr>
          <w:rFonts w:ascii="Arial" w:hAnsi="Arial" w:cs="Arial"/>
          <w:sz w:val="18"/>
          <w:szCs w:val="18"/>
        </w:rPr>
        <w:fldChar w:fldCharType="begin"/>
      </w:r>
      <w:r w:rsidRPr="00570EBF">
        <w:rPr>
          <w:rFonts w:ascii="Arial" w:hAnsi="Arial" w:cs="Arial"/>
          <w:sz w:val="18"/>
          <w:szCs w:val="18"/>
        </w:rPr>
        <w:instrText xml:space="preserve"> NOTEREF _Ref234322107 \h </w:instrText>
      </w:r>
      <w:r w:rsidR="00F33CDC" w:rsidRPr="00570EBF">
        <w:rPr>
          <w:rFonts w:ascii="Arial" w:hAnsi="Arial" w:cs="Arial"/>
          <w:sz w:val="18"/>
          <w:szCs w:val="18"/>
        </w:rPr>
        <w:instrText xml:space="preserve"> \* MERGEFORMAT </w:instrText>
      </w:r>
      <w:r w:rsidRPr="00570EBF">
        <w:rPr>
          <w:rFonts w:ascii="Arial" w:hAnsi="Arial" w:cs="Arial"/>
          <w:sz w:val="18"/>
          <w:szCs w:val="18"/>
        </w:rPr>
      </w:r>
      <w:r w:rsidRPr="00570EBF">
        <w:rPr>
          <w:rFonts w:ascii="Arial" w:hAnsi="Arial" w:cs="Arial"/>
          <w:sz w:val="18"/>
          <w:szCs w:val="18"/>
        </w:rPr>
        <w:fldChar w:fldCharType="separate"/>
      </w:r>
      <w:r w:rsidRPr="00570EBF">
        <w:rPr>
          <w:rFonts w:ascii="Arial" w:hAnsi="Arial" w:cs="Arial"/>
          <w:sz w:val="18"/>
          <w:szCs w:val="18"/>
        </w:rPr>
        <w:t>47</w:t>
      </w:r>
      <w:r w:rsidRPr="00570EBF">
        <w:rPr>
          <w:rFonts w:ascii="Arial" w:hAnsi="Arial" w:cs="Arial"/>
          <w:sz w:val="18"/>
          <w:szCs w:val="18"/>
        </w:rPr>
        <w:fldChar w:fldCharType="end"/>
      </w:r>
      <w:r w:rsidRPr="00570EBF">
        <w:rPr>
          <w:rFonts w:ascii="Arial" w:hAnsi="Arial" w:cs="Arial"/>
          <w:sz w:val="18"/>
          <w:szCs w:val="18"/>
        </w:rPr>
        <w:t>) Article 13.</w:t>
      </w:r>
    </w:p>
  </w:footnote>
  <w:footnote w:id="53">
    <w:p w14:paraId="787896D2" w14:textId="15CA29C6"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(n</w:t>
      </w:r>
      <w:r w:rsidR="00621CC0" w:rsidRPr="00570EBF">
        <w:rPr>
          <w:rFonts w:ascii="Arial" w:hAnsi="Arial" w:cs="Arial"/>
          <w:sz w:val="18"/>
          <w:szCs w:val="18"/>
        </w:rPr>
        <w:t xml:space="preserve"> </w:t>
      </w:r>
      <w:r w:rsidR="00621CC0" w:rsidRPr="00570EBF">
        <w:rPr>
          <w:rFonts w:ascii="Arial" w:hAnsi="Arial" w:cs="Arial"/>
          <w:sz w:val="18"/>
          <w:szCs w:val="18"/>
        </w:rPr>
        <w:fldChar w:fldCharType="begin"/>
      </w:r>
      <w:r w:rsidR="00621CC0"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621CC0" w:rsidRPr="00570EBF">
        <w:rPr>
          <w:rFonts w:ascii="Arial" w:hAnsi="Arial" w:cs="Arial"/>
          <w:sz w:val="18"/>
          <w:szCs w:val="18"/>
        </w:rPr>
      </w:r>
      <w:r w:rsidR="00621CC0" w:rsidRPr="00570EBF">
        <w:rPr>
          <w:rFonts w:ascii="Arial" w:hAnsi="Arial" w:cs="Arial"/>
          <w:sz w:val="18"/>
          <w:szCs w:val="18"/>
        </w:rPr>
        <w:fldChar w:fldCharType="separate"/>
      </w:r>
      <w:r w:rsidR="00621CC0" w:rsidRPr="00570EBF">
        <w:rPr>
          <w:rFonts w:ascii="Arial" w:hAnsi="Arial" w:cs="Arial"/>
          <w:sz w:val="18"/>
          <w:szCs w:val="18"/>
        </w:rPr>
        <w:t>1</w:t>
      </w:r>
      <w:r w:rsidR="00621CC0" w:rsidRPr="00570EBF">
        <w:rPr>
          <w:rFonts w:ascii="Arial" w:hAnsi="Arial" w:cs="Arial"/>
          <w:sz w:val="18"/>
          <w:szCs w:val="18"/>
        </w:rPr>
        <w:fldChar w:fldCharType="end"/>
      </w:r>
      <w:r w:rsidRPr="00570EBF">
        <w:rPr>
          <w:rFonts w:ascii="Arial" w:hAnsi="Arial" w:cs="Arial"/>
          <w:sz w:val="18"/>
          <w:szCs w:val="18"/>
        </w:rPr>
        <w:t>), Cl 16(3-4).</w:t>
      </w:r>
    </w:p>
  </w:footnote>
  <w:footnote w:id="54">
    <w:p w14:paraId="6F2941DB" w14:textId="59C679DC" w:rsidR="00435B17" w:rsidRPr="00627E4C" w:rsidRDefault="00435B17">
      <w:pPr>
        <w:pStyle w:val="FootnoteText"/>
        <w:rPr>
          <w:rFonts w:ascii="Arial" w:hAnsi="Arial" w:cs="Arial"/>
          <w:sz w:val="18"/>
          <w:szCs w:val="18"/>
          <w:lang w:val="en-US"/>
        </w:rPr>
      </w:pPr>
      <w:r w:rsidRPr="00627E4C">
        <w:rPr>
          <w:rStyle w:val="FootnoteReference"/>
          <w:rFonts w:ascii="Arial" w:hAnsi="Arial" w:cs="Arial"/>
          <w:sz w:val="18"/>
          <w:szCs w:val="18"/>
        </w:rPr>
        <w:footnoteRef/>
      </w:r>
      <w:r w:rsidRPr="00627E4C">
        <w:rPr>
          <w:rFonts w:ascii="Arial" w:hAnsi="Arial" w:cs="Arial"/>
          <w:sz w:val="18"/>
          <w:szCs w:val="18"/>
        </w:rPr>
        <w:t xml:space="preserve"> </w:t>
      </w:r>
      <w:proofErr w:type="spellStart"/>
      <w:r w:rsidRPr="00627E4C">
        <w:rPr>
          <w:rFonts w:ascii="Arial" w:eastAsia="Arial" w:hAnsi="Arial" w:cs="Arial"/>
          <w:i/>
          <w:iCs/>
          <w:sz w:val="18"/>
          <w:szCs w:val="18"/>
        </w:rPr>
        <w:t>Maaouia</w:t>
      </w:r>
      <w:proofErr w:type="spellEnd"/>
      <w:r w:rsidRPr="00627E4C">
        <w:rPr>
          <w:rFonts w:ascii="Arial" w:eastAsia="Arial" w:hAnsi="Arial" w:cs="Arial"/>
          <w:i/>
          <w:iCs/>
          <w:sz w:val="18"/>
          <w:szCs w:val="18"/>
        </w:rPr>
        <w:t xml:space="preserve"> v France</w:t>
      </w:r>
      <w:r w:rsidRPr="00627E4C">
        <w:rPr>
          <w:rFonts w:ascii="Arial" w:eastAsia="Arial" w:hAnsi="Arial" w:cs="Arial"/>
          <w:sz w:val="18"/>
          <w:szCs w:val="18"/>
        </w:rPr>
        <w:t xml:space="preserve"> </w:t>
      </w:r>
      <w:r w:rsidR="00675421" w:rsidRPr="00627E4C">
        <w:rPr>
          <w:rFonts w:ascii="Arial" w:eastAsia="Arial" w:hAnsi="Arial" w:cs="Arial"/>
          <w:sz w:val="18"/>
          <w:szCs w:val="18"/>
        </w:rPr>
        <w:t>[2000]</w:t>
      </w:r>
      <w:r w:rsidRPr="00627E4C">
        <w:rPr>
          <w:rFonts w:ascii="Arial" w:eastAsia="Arial" w:hAnsi="Arial" w:cs="Arial"/>
          <w:sz w:val="18"/>
          <w:szCs w:val="18"/>
        </w:rPr>
        <w:t xml:space="preserve"> 33 EHRR 42.</w:t>
      </w:r>
    </w:p>
  </w:footnote>
  <w:footnote w:id="55">
    <w:p w14:paraId="08DB5412" w14:textId="60C2433B" w:rsidR="00997414" w:rsidRPr="00997414" w:rsidRDefault="00997414">
      <w:pPr>
        <w:pStyle w:val="FootnoteText"/>
        <w:rPr>
          <w:lang w:val="en-US"/>
        </w:rPr>
      </w:pPr>
      <w:r w:rsidRPr="00627E4C">
        <w:rPr>
          <w:rStyle w:val="FootnoteReference"/>
          <w:rFonts w:ascii="Arial" w:hAnsi="Arial" w:cs="Arial"/>
          <w:sz w:val="18"/>
          <w:szCs w:val="18"/>
        </w:rPr>
        <w:footnoteRef/>
      </w:r>
      <w:r w:rsidRPr="00627E4C">
        <w:rPr>
          <w:rFonts w:ascii="Arial" w:hAnsi="Arial" w:cs="Arial"/>
          <w:sz w:val="18"/>
          <w:szCs w:val="18"/>
        </w:rPr>
        <w:t xml:space="preserve"> </w:t>
      </w:r>
      <w:proofErr w:type="spellStart"/>
      <w:r w:rsidR="00627E4C" w:rsidRPr="00627E4C">
        <w:rPr>
          <w:rFonts w:ascii="Arial" w:eastAsia="Arial" w:hAnsi="Arial" w:cs="Arial"/>
          <w:i/>
          <w:iCs/>
          <w:sz w:val="18"/>
          <w:szCs w:val="18"/>
        </w:rPr>
        <w:t>Gudanaviciene</w:t>
      </w:r>
      <w:proofErr w:type="spellEnd"/>
      <w:r w:rsidR="00627E4C" w:rsidRPr="00627E4C">
        <w:rPr>
          <w:rFonts w:ascii="Arial" w:eastAsia="Arial" w:hAnsi="Arial" w:cs="Arial"/>
          <w:i/>
          <w:iCs/>
          <w:sz w:val="18"/>
          <w:szCs w:val="18"/>
        </w:rPr>
        <w:t xml:space="preserve"> v Director of Legal Aid Casework</w:t>
      </w:r>
      <w:r w:rsidR="00627E4C" w:rsidRPr="00627E4C">
        <w:rPr>
          <w:rFonts w:ascii="Arial" w:eastAsia="Arial" w:hAnsi="Arial" w:cs="Arial"/>
          <w:sz w:val="18"/>
          <w:szCs w:val="18"/>
        </w:rPr>
        <w:t xml:space="preserve"> [2014] EWCA </w:t>
      </w:r>
      <w:proofErr w:type="spellStart"/>
      <w:r w:rsidR="00627E4C" w:rsidRPr="00627E4C">
        <w:rPr>
          <w:rFonts w:ascii="Arial" w:eastAsia="Arial" w:hAnsi="Arial" w:cs="Arial"/>
          <w:sz w:val="18"/>
          <w:szCs w:val="18"/>
        </w:rPr>
        <w:t>Civ</w:t>
      </w:r>
      <w:proofErr w:type="spellEnd"/>
      <w:r w:rsidR="00627E4C" w:rsidRPr="00627E4C">
        <w:rPr>
          <w:rFonts w:ascii="Arial" w:eastAsia="Arial" w:hAnsi="Arial" w:cs="Arial"/>
          <w:sz w:val="18"/>
          <w:szCs w:val="18"/>
        </w:rPr>
        <w:t xml:space="preserve"> 1622.</w:t>
      </w:r>
    </w:p>
  </w:footnote>
  <w:footnote w:id="56">
    <w:p w14:paraId="061545F6" w14:textId="03DBA527" w:rsidR="00796FF4" w:rsidRPr="00796FF4" w:rsidRDefault="00796FF4">
      <w:pPr>
        <w:pStyle w:val="FootnoteText"/>
        <w:rPr>
          <w:rFonts w:ascii="Arial" w:hAnsi="Arial" w:cs="Arial"/>
          <w:sz w:val="18"/>
          <w:szCs w:val="18"/>
        </w:rPr>
      </w:pPr>
      <w:r w:rsidRPr="00796FF4">
        <w:rPr>
          <w:rStyle w:val="FootnoteReference"/>
          <w:rFonts w:ascii="Arial" w:hAnsi="Arial" w:cs="Arial"/>
          <w:sz w:val="18"/>
          <w:szCs w:val="18"/>
        </w:rPr>
        <w:footnoteRef/>
      </w:r>
      <w:r w:rsidRPr="00796FF4">
        <w:rPr>
          <w:rFonts w:ascii="Arial" w:hAnsi="Arial" w:cs="Arial"/>
          <w:sz w:val="18"/>
          <w:szCs w:val="18"/>
        </w:rPr>
        <w:t xml:space="preserve"> </w:t>
      </w:r>
      <w:proofErr w:type="spellStart"/>
      <w:r w:rsidRPr="00796FF4">
        <w:rPr>
          <w:rFonts w:ascii="Arial" w:hAnsi="Arial" w:cs="Arial"/>
          <w:i/>
          <w:iCs/>
          <w:sz w:val="18"/>
          <w:szCs w:val="18"/>
        </w:rPr>
        <w:t>Associação</w:t>
      </w:r>
      <w:proofErr w:type="spellEnd"/>
      <w:r w:rsidRPr="00796FF4">
        <w:rPr>
          <w:rFonts w:ascii="Arial" w:hAnsi="Arial" w:cs="Arial"/>
          <w:i/>
          <w:iCs/>
          <w:sz w:val="18"/>
          <w:szCs w:val="18"/>
        </w:rPr>
        <w:t xml:space="preserve"> </w:t>
      </w:r>
      <w:proofErr w:type="spellStart"/>
      <w:r w:rsidRPr="00796FF4">
        <w:rPr>
          <w:rFonts w:ascii="Arial" w:hAnsi="Arial" w:cs="Arial"/>
          <w:i/>
          <w:iCs/>
          <w:sz w:val="18"/>
          <w:szCs w:val="18"/>
        </w:rPr>
        <w:t>Sindical</w:t>
      </w:r>
      <w:proofErr w:type="spellEnd"/>
      <w:r w:rsidRPr="00796FF4">
        <w:rPr>
          <w:rFonts w:ascii="Arial" w:hAnsi="Arial" w:cs="Arial"/>
          <w:i/>
          <w:iCs/>
          <w:sz w:val="18"/>
          <w:szCs w:val="18"/>
        </w:rPr>
        <w:t xml:space="preserve"> dos </w:t>
      </w:r>
      <w:proofErr w:type="spellStart"/>
      <w:r w:rsidRPr="00796FF4">
        <w:rPr>
          <w:rFonts w:ascii="Arial" w:hAnsi="Arial" w:cs="Arial"/>
          <w:i/>
          <w:iCs/>
          <w:sz w:val="18"/>
          <w:szCs w:val="18"/>
        </w:rPr>
        <w:t>Juízes</w:t>
      </w:r>
      <w:proofErr w:type="spellEnd"/>
      <w:r w:rsidRPr="00796FF4">
        <w:rPr>
          <w:rFonts w:ascii="Arial" w:hAnsi="Arial" w:cs="Arial"/>
          <w:i/>
          <w:iCs/>
          <w:sz w:val="18"/>
          <w:szCs w:val="18"/>
        </w:rPr>
        <w:t xml:space="preserve"> </w:t>
      </w:r>
      <w:proofErr w:type="spellStart"/>
      <w:r w:rsidRPr="00796FF4">
        <w:rPr>
          <w:rFonts w:ascii="Arial" w:hAnsi="Arial" w:cs="Arial"/>
          <w:i/>
          <w:iCs/>
          <w:sz w:val="18"/>
          <w:szCs w:val="18"/>
        </w:rPr>
        <w:t>Portugueses</w:t>
      </w:r>
      <w:proofErr w:type="spellEnd"/>
      <w:r w:rsidRPr="00796FF4">
        <w:rPr>
          <w:rFonts w:ascii="Arial" w:hAnsi="Arial" w:cs="Arial"/>
          <w:sz w:val="18"/>
          <w:szCs w:val="18"/>
        </w:rPr>
        <w:t xml:space="preserve"> (C-64/16); </w:t>
      </w:r>
      <w:r w:rsidRPr="00796FF4">
        <w:rPr>
          <w:rFonts w:ascii="Arial" w:hAnsi="Arial" w:cs="Arial"/>
          <w:i/>
          <w:iCs/>
          <w:sz w:val="18"/>
          <w:szCs w:val="18"/>
        </w:rPr>
        <w:t>Minister for Justice and Equality v LM</w:t>
      </w:r>
      <w:r w:rsidRPr="00796FF4">
        <w:rPr>
          <w:rFonts w:ascii="Arial" w:hAnsi="Arial" w:cs="Arial"/>
          <w:sz w:val="18"/>
          <w:szCs w:val="18"/>
        </w:rPr>
        <w:t xml:space="preserve"> (C-216/18 PPU)</w:t>
      </w:r>
      <w:r w:rsidR="00D7224C">
        <w:rPr>
          <w:rFonts w:ascii="Arial" w:hAnsi="Arial" w:cs="Arial"/>
          <w:sz w:val="18"/>
          <w:szCs w:val="18"/>
        </w:rPr>
        <w:t>.</w:t>
      </w:r>
    </w:p>
  </w:footnote>
  <w:footnote w:id="57">
    <w:p w14:paraId="63565DD3" w14:textId="07B1611B"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621CC0" w:rsidRPr="00570EBF">
        <w:rPr>
          <w:rFonts w:ascii="Arial" w:hAnsi="Arial" w:cs="Arial"/>
          <w:sz w:val="18"/>
          <w:szCs w:val="18"/>
        </w:rPr>
        <w:t xml:space="preserve">n </w:t>
      </w:r>
      <w:r w:rsidR="00621CC0" w:rsidRPr="00570EBF">
        <w:rPr>
          <w:rFonts w:ascii="Arial" w:hAnsi="Arial" w:cs="Arial"/>
          <w:sz w:val="18"/>
          <w:szCs w:val="18"/>
        </w:rPr>
        <w:fldChar w:fldCharType="begin"/>
      </w:r>
      <w:r w:rsidR="00621CC0"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621CC0" w:rsidRPr="00570EBF">
        <w:rPr>
          <w:rFonts w:ascii="Arial" w:hAnsi="Arial" w:cs="Arial"/>
          <w:sz w:val="18"/>
          <w:szCs w:val="18"/>
        </w:rPr>
      </w:r>
      <w:r w:rsidR="00621CC0" w:rsidRPr="00570EBF">
        <w:rPr>
          <w:rFonts w:ascii="Arial" w:hAnsi="Arial" w:cs="Arial"/>
          <w:sz w:val="18"/>
          <w:szCs w:val="18"/>
        </w:rPr>
        <w:fldChar w:fldCharType="separate"/>
      </w:r>
      <w:r w:rsidR="00621CC0" w:rsidRPr="00570EBF">
        <w:rPr>
          <w:rFonts w:ascii="Arial" w:hAnsi="Arial" w:cs="Arial"/>
          <w:sz w:val="18"/>
          <w:szCs w:val="18"/>
        </w:rPr>
        <w:t>1</w:t>
      </w:r>
      <w:r w:rsidR="00621CC0" w:rsidRPr="00570EBF">
        <w:rPr>
          <w:rFonts w:ascii="Arial" w:hAnsi="Arial" w:cs="Arial"/>
          <w:sz w:val="18"/>
          <w:szCs w:val="18"/>
        </w:rPr>
        <w:fldChar w:fldCharType="end"/>
      </w:r>
      <w:r w:rsidR="00621CC0" w:rsidRPr="00570EBF">
        <w:rPr>
          <w:rFonts w:ascii="Arial" w:hAnsi="Arial" w:cs="Arial"/>
          <w:sz w:val="18"/>
          <w:szCs w:val="18"/>
        </w:rPr>
        <w:t>).</w:t>
      </w:r>
    </w:p>
  </w:footnote>
  <w:footnote w:id="58">
    <w:p w14:paraId="035A4BD6" w14:textId="1CB216FE" w:rsidR="00651471" w:rsidRPr="00570EBF" w:rsidRDefault="00651471" w:rsidP="00651471">
      <w:pPr>
        <w:pStyle w:val="FootnoteText"/>
        <w:contextualSpacing/>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19" w:history="1">
        <w:r w:rsidRPr="00570EBF">
          <w:rPr>
            <w:rStyle w:val="Hyperlink"/>
            <w:rFonts w:ascii="Arial" w:hAnsi="Arial" w:cs="Arial"/>
            <w:sz w:val="18"/>
            <w:szCs w:val="18"/>
          </w:rPr>
          <w:t>Home Office, “Economic Note: Appendix Family Reunion, Suspension of New Applications (Accessible)</w:t>
        </w:r>
      </w:hyperlink>
      <w:r w:rsidRPr="00570EBF">
        <w:rPr>
          <w:rFonts w:ascii="Arial" w:hAnsi="Arial" w:cs="Arial"/>
          <w:sz w:val="18"/>
          <w:szCs w:val="18"/>
        </w:rPr>
        <w:t>” (September 4, 2025).</w:t>
      </w:r>
    </w:p>
  </w:footnote>
  <w:footnote w:id="59">
    <w:p w14:paraId="3A1BFE99" w14:textId="758BC728" w:rsidR="00651471" w:rsidRPr="00570EBF" w:rsidRDefault="00651471" w:rsidP="00651471">
      <w:pPr>
        <w:pStyle w:val="FootnoteText"/>
        <w:contextualSpacing/>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Melanie Gower, “</w:t>
      </w:r>
      <w:hyperlink r:id="rId20" w:history="1">
        <w:r w:rsidRPr="00570EBF">
          <w:rPr>
            <w:rStyle w:val="Hyperlink"/>
            <w:rFonts w:ascii="Arial" w:hAnsi="Arial" w:cs="Arial"/>
            <w:sz w:val="18"/>
            <w:szCs w:val="18"/>
          </w:rPr>
          <w:t>Refugee Family Reunion: Government Proposals for Change”</w:t>
        </w:r>
      </w:hyperlink>
      <w:r w:rsidRPr="00570EBF">
        <w:rPr>
          <w:rFonts w:ascii="Arial" w:hAnsi="Arial" w:cs="Arial"/>
          <w:sz w:val="18"/>
          <w:szCs w:val="18"/>
        </w:rPr>
        <w:t xml:space="preserve"> (House of Commons Library</w:t>
      </w:r>
      <w:r w:rsidRPr="00570EBF">
        <w:rPr>
          <w:rFonts w:ascii="Arial" w:hAnsi="Arial" w:cs="Arial"/>
          <w:i/>
          <w:iCs/>
          <w:sz w:val="18"/>
          <w:szCs w:val="18"/>
        </w:rPr>
        <w:t xml:space="preserve">, </w:t>
      </w:r>
      <w:r w:rsidRPr="00570EBF">
        <w:rPr>
          <w:rFonts w:ascii="Arial" w:hAnsi="Arial" w:cs="Arial"/>
          <w:sz w:val="18"/>
          <w:szCs w:val="18"/>
        </w:rPr>
        <w:t>November 28, 2025).</w:t>
      </w:r>
    </w:p>
  </w:footnote>
  <w:footnote w:id="60">
    <w:p w14:paraId="5F0313B7" w14:textId="35117E12"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00EC2B0C" w:rsidRPr="00570EBF">
        <w:rPr>
          <w:rFonts w:ascii="Arial" w:hAnsi="Arial" w:cs="Arial"/>
          <w:sz w:val="18"/>
          <w:szCs w:val="18"/>
        </w:rPr>
        <w:t xml:space="preserve"> Immigration Rules</w:t>
      </w:r>
      <w:r w:rsidR="00B0217F" w:rsidRPr="00570EBF">
        <w:rPr>
          <w:rFonts w:ascii="Arial" w:hAnsi="Arial" w:cs="Arial"/>
          <w:sz w:val="18"/>
          <w:szCs w:val="18"/>
        </w:rPr>
        <w:t xml:space="preserve"> Appendix FM: family members</w:t>
      </w:r>
      <w:r w:rsidR="008C5DD1" w:rsidRPr="00570EBF">
        <w:rPr>
          <w:rFonts w:ascii="Arial" w:hAnsi="Arial" w:cs="Arial"/>
          <w:sz w:val="18"/>
          <w:szCs w:val="18"/>
        </w:rPr>
        <w:t xml:space="preserve"> (last updated 1 July 2026).</w:t>
      </w:r>
    </w:p>
  </w:footnote>
  <w:footnote w:id="61">
    <w:p w14:paraId="14182F0C" w14:textId="76F636E6"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Nicola Newson, “</w:t>
      </w:r>
      <w:hyperlink r:id="rId21" w:history="1">
        <w:r w:rsidRPr="00570EBF">
          <w:rPr>
            <w:rStyle w:val="Hyperlink"/>
            <w:rFonts w:ascii="Arial" w:hAnsi="Arial" w:cs="Arial"/>
            <w:sz w:val="18"/>
            <w:szCs w:val="18"/>
          </w:rPr>
          <w:t>Integration of Newly Recognised Refugees</w:t>
        </w:r>
      </w:hyperlink>
      <w:r w:rsidRPr="00570EBF">
        <w:rPr>
          <w:rFonts w:ascii="Arial" w:hAnsi="Arial" w:cs="Arial"/>
          <w:sz w:val="18"/>
          <w:szCs w:val="18"/>
        </w:rPr>
        <w:t>” (House of Lords Library</w:t>
      </w:r>
      <w:r w:rsidRPr="00570EBF">
        <w:rPr>
          <w:rFonts w:ascii="Arial" w:hAnsi="Arial" w:cs="Arial"/>
          <w:i/>
          <w:iCs/>
          <w:sz w:val="18"/>
          <w:szCs w:val="18"/>
        </w:rPr>
        <w:t xml:space="preserve">, </w:t>
      </w:r>
      <w:r w:rsidRPr="00570EBF">
        <w:rPr>
          <w:rFonts w:ascii="Arial" w:hAnsi="Arial" w:cs="Arial"/>
          <w:sz w:val="18"/>
          <w:szCs w:val="18"/>
        </w:rPr>
        <w:t>January 15, 2024); Saqib, “</w:t>
      </w:r>
      <w:hyperlink r:id="rId22" w:history="1">
        <w:r w:rsidRPr="00570EBF">
          <w:rPr>
            <w:rStyle w:val="Hyperlink"/>
            <w:rFonts w:ascii="Arial" w:hAnsi="Arial" w:cs="Arial"/>
            <w:sz w:val="18"/>
            <w:szCs w:val="18"/>
          </w:rPr>
          <w:t>Financial Requirements on Family Visas - Refugee and Migrant Centre</w:t>
        </w:r>
      </w:hyperlink>
      <w:r w:rsidRPr="00570EBF">
        <w:rPr>
          <w:rFonts w:ascii="Arial" w:hAnsi="Arial" w:cs="Arial"/>
          <w:sz w:val="18"/>
          <w:szCs w:val="18"/>
        </w:rPr>
        <w:t>” (Refugee and Migrant Centre</w:t>
      </w:r>
      <w:r w:rsidRPr="00570EBF">
        <w:rPr>
          <w:rFonts w:ascii="Arial" w:hAnsi="Arial" w:cs="Arial"/>
          <w:i/>
          <w:iCs/>
          <w:sz w:val="18"/>
          <w:szCs w:val="18"/>
        </w:rPr>
        <w:t xml:space="preserve">, </w:t>
      </w:r>
      <w:r w:rsidRPr="00570EBF">
        <w:rPr>
          <w:rFonts w:ascii="Arial" w:hAnsi="Arial" w:cs="Arial"/>
          <w:sz w:val="18"/>
          <w:szCs w:val="18"/>
        </w:rPr>
        <w:t>December 9, 2024).</w:t>
      </w:r>
    </w:p>
  </w:footnote>
  <w:footnote w:id="62">
    <w:p w14:paraId="7ED1917C" w14:textId="7A24748E"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Council of Europe, “</w:t>
      </w:r>
      <w:hyperlink r:id="rId23" w:history="1">
        <w:r w:rsidRPr="00570EBF">
          <w:rPr>
            <w:rStyle w:val="Hyperlink"/>
            <w:rFonts w:ascii="Arial" w:hAnsi="Arial" w:cs="Arial"/>
            <w:sz w:val="18"/>
            <w:szCs w:val="18"/>
          </w:rPr>
          <w:t>Ending Restrictions on Family Reunification: Good for Refugees, Good for Host Societies</w:t>
        </w:r>
      </w:hyperlink>
      <w:r w:rsidRPr="00570EBF">
        <w:rPr>
          <w:rFonts w:ascii="Arial" w:hAnsi="Arial" w:cs="Arial"/>
          <w:sz w:val="18"/>
          <w:szCs w:val="18"/>
        </w:rPr>
        <w:t>” (Commissioner for Human Rights</w:t>
      </w:r>
      <w:r w:rsidRPr="00570EBF">
        <w:rPr>
          <w:rFonts w:ascii="Arial" w:hAnsi="Arial" w:cs="Arial"/>
          <w:i/>
          <w:iCs/>
          <w:sz w:val="18"/>
          <w:szCs w:val="18"/>
        </w:rPr>
        <w:t xml:space="preserve">, </w:t>
      </w:r>
      <w:r w:rsidRPr="00570EBF">
        <w:rPr>
          <w:rFonts w:ascii="Arial" w:hAnsi="Arial" w:cs="Arial"/>
          <w:sz w:val="18"/>
          <w:szCs w:val="18"/>
        </w:rPr>
        <w:t>October 24, 2017).</w:t>
      </w:r>
    </w:p>
  </w:footnote>
  <w:footnote w:id="63">
    <w:p w14:paraId="48C72FBE" w14:textId="6677F811" w:rsidR="00651471" w:rsidRPr="004A7E29"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4A7E29">
        <w:rPr>
          <w:rFonts w:ascii="Arial" w:hAnsi="Arial" w:cs="Arial"/>
          <w:sz w:val="18"/>
          <w:szCs w:val="18"/>
        </w:rPr>
        <w:t>Emma Kelly, “‘</w:t>
      </w:r>
      <w:hyperlink r:id="rId24" w:history="1">
        <w:r w:rsidRPr="004A7E29">
          <w:rPr>
            <w:rStyle w:val="Hyperlink"/>
            <w:rFonts w:ascii="Arial" w:hAnsi="Arial" w:cs="Arial"/>
            <w:sz w:val="18"/>
            <w:szCs w:val="18"/>
          </w:rPr>
          <w:t xml:space="preserve">Why Are There </w:t>
        </w:r>
        <w:proofErr w:type="gramStart"/>
        <w:r w:rsidRPr="004A7E29">
          <w:rPr>
            <w:rStyle w:val="Hyperlink"/>
            <w:rFonts w:ascii="Arial" w:hAnsi="Arial" w:cs="Arial"/>
            <w:sz w:val="18"/>
            <w:szCs w:val="18"/>
          </w:rPr>
          <w:t>so</w:t>
        </w:r>
        <w:proofErr w:type="gramEnd"/>
        <w:r w:rsidRPr="004A7E29">
          <w:rPr>
            <w:rStyle w:val="Hyperlink"/>
            <w:rFonts w:ascii="Arial" w:hAnsi="Arial" w:cs="Arial"/>
            <w:sz w:val="18"/>
            <w:szCs w:val="18"/>
          </w:rPr>
          <w:t xml:space="preserve"> Many Refugees?’</w:t>
        </w:r>
      </w:hyperlink>
      <w:r w:rsidRPr="004A7E29">
        <w:rPr>
          <w:rFonts w:ascii="Arial" w:hAnsi="Arial" w:cs="Arial"/>
          <w:sz w:val="18"/>
          <w:szCs w:val="18"/>
        </w:rPr>
        <w:t>” (Concern Worldwide</w:t>
      </w:r>
      <w:r w:rsidRPr="004A7E29">
        <w:rPr>
          <w:rFonts w:ascii="Arial" w:hAnsi="Arial" w:cs="Arial"/>
          <w:i/>
          <w:iCs/>
          <w:sz w:val="18"/>
          <w:szCs w:val="18"/>
        </w:rPr>
        <w:t xml:space="preserve">, </w:t>
      </w:r>
      <w:r w:rsidRPr="004A7E29">
        <w:rPr>
          <w:rFonts w:ascii="Arial" w:hAnsi="Arial" w:cs="Arial"/>
          <w:sz w:val="18"/>
          <w:szCs w:val="18"/>
        </w:rPr>
        <w:t>2025).</w:t>
      </w:r>
    </w:p>
  </w:footnote>
  <w:footnote w:id="64">
    <w:p w14:paraId="636E2306" w14:textId="61CAD407" w:rsidR="00F543AB" w:rsidRPr="004A7E29" w:rsidRDefault="00F543AB">
      <w:pPr>
        <w:pStyle w:val="FootnoteText"/>
        <w:rPr>
          <w:rFonts w:ascii="Arial" w:hAnsi="Arial" w:cs="Arial"/>
          <w:sz w:val="18"/>
          <w:szCs w:val="18"/>
        </w:rPr>
      </w:pPr>
      <w:r w:rsidRPr="004A7E29">
        <w:rPr>
          <w:rStyle w:val="FootnoteReference"/>
          <w:rFonts w:ascii="Arial" w:hAnsi="Arial" w:cs="Arial"/>
          <w:sz w:val="18"/>
          <w:szCs w:val="18"/>
        </w:rPr>
        <w:footnoteRef/>
      </w:r>
      <w:r w:rsidRPr="004A7E29">
        <w:rPr>
          <w:rFonts w:ascii="Arial" w:hAnsi="Arial" w:cs="Arial"/>
          <w:sz w:val="18"/>
          <w:szCs w:val="18"/>
        </w:rPr>
        <w:t xml:space="preserve"> </w:t>
      </w:r>
      <w:r w:rsidR="00FA32BB" w:rsidRPr="004A7E29">
        <w:rPr>
          <w:rFonts w:ascii="Arial" w:hAnsi="Arial" w:cs="Arial"/>
          <w:i/>
          <w:iCs/>
          <w:sz w:val="18"/>
          <w:szCs w:val="18"/>
        </w:rPr>
        <w:t>M.A. v Denmark</w:t>
      </w:r>
      <w:r w:rsidR="00FA32BB" w:rsidRPr="004A7E29">
        <w:rPr>
          <w:rFonts w:ascii="Arial" w:hAnsi="Arial" w:cs="Arial"/>
          <w:sz w:val="18"/>
          <w:szCs w:val="18"/>
        </w:rPr>
        <w:t xml:space="preserve"> App no 6697/18 </w:t>
      </w:r>
      <w:r w:rsidR="004A7E29" w:rsidRPr="004A7E29">
        <w:rPr>
          <w:rFonts w:ascii="Arial" w:hAnsi="Arial" w:cs="Arial"/>
          <w:sz w:val="18"/>
          <w:szCs w:val="18"/>
        </w:rPr>
        <w:t xml:space="preserve">(ECtHR, 9 July 2021). </w:t>
      </w:r>
    </w:p>
  </w:footnote>
  <w:footnote w:id="65">
    <w:p w14:paraId="1C7F62DE" w14:textId="3AE709EC" w:rsidR="00651471" w:rsidRPr="00570EBF" w:rsidRDefault="00651471" w:rsidP="00651471">
      <w:pPr>
        <w:pStyle w:val="FootnoteText"/>
        <w:contextualSpacing/>
        <w:rPr>
          <w:rFonts w:ascii="Arial" w:hAnsi="Arial" w:cs="Arial"/>
          <w:color w:val="0D0D0D" w:themeColor="text1" w:themeTint="F2"/>
          <w:sz w:val="18"/>
          <w:szCs w:val="18"/>
          <w:lang w:val="en-US"/>
        </w:rPr>
      </w:pPr>
      <w:r w:rsidRPr="004A7E29">
        <w:rPr>
          <w:rStyle w:val="FootnoteReference"/>
          <w:rFonts w:ascii="Arial" w:hAnsi="Arial" w:cs="Arial"/>
          <w:color w:val="0D0D0D" w:themeColor="text1" w:themeTint="F2"/>
          <w:sz w:val="18"/>
          <w:szCs w:val="18"/>
        </w:rPr>
        <w:footnoteRef/>
      </w:r>
      <w:r w:rsidRPr="004A7E29">
        <w:rPr>
          <w:rFonts w:ascii="Arial" w:hAnsi="Arial" w:cs="Arial"/>
          <w:color w:val="0D0D0D" w:themeColor="text1" w:themeTint="F2"/>
          <w:sz w:val="18"/>
          <w:szCs w:val="18"/>
        </w:rPr>
        <w:t xml:space="preserve"> </w:t>
      </w:r>
      <w:r w:rsidRPr="004A7E29">
        <w:rPr>
          <w:rFonts w:ascii="Arial" w:hAnsi="Arial" w:cs="Arial"/>
          <w:sz w:val="18"/>
          <w:szCs w:val="18"/>
        </w:rPr>
        <w:t>Immigration and Asylum Bill</w:t>
      </w:r>
      <w:r w:rsidR="00F26E46" w:rsidRPr="004A7E29">
        <w:rPr>
          <w:rFonts w:ascii="Arial" w:hAnsi="Arial" w:cs="Arial"/>
          <w:sz w:val="18"/>
          <w:szCs w:val="18"/>
        </w:rPr>
        <w:t xml:space="preserve"> </w:t>
      </w:r>
      <w:r w:rsidRPr="004A7E29">
        <w:rPr>
          <w:rFonts w:ascii="Arial" w:hAnsi="Arial" w:cs="Arial"/>
          <w:sz w:val="18"/>
          <w:szCs w:val="18"/>
        </w:rPr>
        <w:t>Explanatory Notes</w:t>
      </w:r>
      <w:r w:rsidR="00F26E46" w:rsidRPr="004A7E29">
        <w:rPr>
          <w:rFonts w:ascii="Arial" w:hAnsi="Arial" w:cs="Arial"/>
          <w:color w:val="0D0D0D" w:themeColor="text1" w:themeTint="F2"/>
          <w:sz w:val="18"/>
          <w:szCs w:val="18"/>
        </w:rPr>
        <w:t xml:space="preserve"> </w:t>
      </w:r>
      <w:r w:rsidR="002451B5" w:rsidRPr="004A7E29">
        <w:rPr>
          <w:rFonts w:ascii="Arial" w:hAnsi="Arial" w:cs="Arial"/>
          <w:color w:val="0D0D0D" w:themeColor="text1" w:themeTint="F2"/>
          <w:sz w:val="18"/>
          <w:szCs w:val="18"/>
        </w:rPr>
        <w:t xml:space="preserve">(n </w:t>
      </w:r>
      <w:r w:rsidR="002451B5" w:rsidRPr="004A7E29">
        <w:rPr>
          <w:rFonts w:ascii="Arial" w:hAnsi="Arial" w:cs="Arial"/>
          <w:color w:val="0D0D0D" w:themeColor="text1" w:themeTint="F2"/>
          <w:sz w:val="18"/>
          <w:szCs w:val="18"/>
        </w:rPr>
        <w:fldChar w:fldCharType="begin"/>
      </w:r>
      <w:r w:rsidR="002451B5" w:rsidRPr="004A7E29">
        <w:rPr>
          <w:rFonts w:ascii="Arial" w:hAnsi="Arial" w:cs="Arial"/>
          <w:color w:val="0D0D0D" w:themeColor="text1" w:themeTint="F2"/>
          <w:sz w:val="18"/>
          <w:szCs w:val="18"/>
        </w:rPr>
        <w:instrText xml:space="preserve"> NOTEREF _Ref234484475 \h </w:instrText>
      </w:r>
      <w:r w:rsidR="00624A32" w:rsidRPr="004A7E29">
        <w:rPr>
          <w:rFonts w:ascii="Arial" w:hAnsi="Arial" w:cs="Arial"/>
          <w:color w:val="0D0D0D" w:themeColor="text1" w:themeTint="F2"/>
          <w:sz w:val="18"/>
          <w:szCs w:val="18"/>
        </w:rPr>
        <w:instrText xml:space="preserve"> \* MERGEFORMAT </w:instrText>
      </w:r>
      <w:r w:rsidR="002451B5" w:rsidRPr="004A7E29">
        <w:rPr>
          <w:rFonts w:ascii="Arial" w:hAnsi="Arial" w:cs="Arial"/>
          <w:color w:val="0D0D0D" w:themeColor="text1" w:themeTint="F2"/>
          <w:sz w:val="18"/>
          <w:szCs w:val="18"/>
        </w:rPr>
      </w:r>
      <w:r w:rsidR="002451B5" w:rsidRPr="004A7E29">
        <w:rPr>
          <w:rFonts w:ascii="Arial" w:hAnsi="Arial" w:cs="Arial"/>
          <w:color w:val="0D0D0D" w:themeColor="text1" w:themeTint="F2"/>
          <w:sz w:val="18"/>
          <w:szCs w:val="18"/>
        </w:rPr>
        <w:fldChar w:fldCharType="separate"/>
      </w:r>
      <w:r w:rsidR="002451B5" w:rsidRPr="004A7E29">
        <w:rPr>
          <w:rFonts w:ascii="Arial" w:hAnsi="Arial" w:cs="Arial"/>
          <w:color w:val="0D0D0D" w:themeColor="text1" w:themeTint="F2"/>
          <w:sz w:val="18"/>
          <w:szCs w:val="18"/>
        </w:rPr>
        <w:t>25</w:t>
      </w:r>
      <w:r w:rsidR="002451B5" w:rsidRPr="004A7E29">
        <w:rPr>
          <w:rFonts w:ascii="Arial" w:hAnsi="Arial" w:cs="Arial"/>
          <w:color w:val="0D0D0D" w:themeColor="text1" w:themeTint="F2"/>
          <w:sz w:val="18"/>
          <w:szCs w:val="18"/>
        </w:rPr>
        <w:fldChar w:fldCharType="end"/>
      </w:r>
      <w:r w:rsidR="002451B5" w:rsidRPr="004A7E29">
        <w:rPr>
          <w:rFonts w:ascii="Arial" w:hAnsi="Arial" w:cs="Arial"/>
          <w:color w:val="0D0D0D" w:themeColor="text1" w:themeTint="F2"/>
          <w:sz w:val="18"/>
          <w:szCs w:val="18"/>
        </w:rPr>
        <w:t xml:space="preserve">) </w:t>
      </w:r>
      <w:r w:rsidR="00F26E46" w:rsidRPr="004A7E29">
        <w:rPr>
          <w:rFonts w:ascii="Arial" w:hAnsi="Arial" w:cs="Arial"/>
          <w:color w:val="0D0D0D" w:themeColor="text1" w:themeTint="F2"/>
          <w:sz w:val="18"/>
          <w:szCs w:val="18"/>
        </w:rPr>
        <w:t>para</w:t>
      </w:r>
      <w:r w:rsidR="00F26E46" w:rsidRPr="00570EBF">
        <w:rPr>
          <w:rFonts w:ascii="Arial" w:hAnsi="Arial" w:cs="Arial"/>
          <w:color w:val="0D0D0D" w:themeColor="text1" w:themeTint="F2"/>
          <w:sz w:val="18"/>
          <w:szCs w:val="18"/>
        </w:rPr>
        <w:t xml:space="preserve"> 25.</w:t>
      </w:r>
    </w:p>
  </w:footnote>
  <w:footnote w:id="66">
    <w:p w14:paraId="5E00A621" w14:textId="7BB8FC03"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color w:val="0D0D0D" w:themeColor="text1" w:themeTint="F2"/>
          <w:sz w:val="18"/>
          <w:szCs w:val="18"/>
        </w:rPr>
        <w:footnoteRef/>
      </w:r>
      <w:r w:rsidRPr="00570EBF">
        <w:rPr>
          <w:rFonts w:ascii="Arial" w:hAnsi="Arial" w:cs="Arial"/>
          <w:color w:val="0D0D0D" w:themeColor="text1" w:themeTint="F2"/>
          <w:sz w:val="18"/>
          <w:szCs w:val="18"/>
        </w:rPr>
        <w:t xml:space="preserve"> Ibid.</w:t>
      </w:r>
    </w:p>
  </w:footnote>
  <w:footnote w:id="67">
    <w:p w14:paraId="59F224C4" w14:textId="2CDD5A9F"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Alice Donald and Joelle Grogan, “</w:t>
      </w:r>
      <w:hyperlink r:id="rId25" w:history="1">
        <w:r w:rsidRPr="00570EBF">
          <w:rPr>
            <w:rStyle w:val="Hyperlink"/>
            <w:rFonts w:ascii="Arial" w:hAnsi="Arial" w:cs="Arial"/>
            <w:sz w:val="18"/>
            <w:szCs w:val="18"/>
          </w:rPr>
          <w:t>Explainer: Compliance with the European Convention on Human Rights: The UK and Europe - UK in a Changing Europe</w:t>
        </w:r>
      </w:hyperlink>
      <w:r w:rsidRPr="00570EBF">
        <w:rPr>
          <w:rFonts w:ascii="Arial" w:hAnsi="Arial" w:cs="Arial"/>
          <w:sz w:val="18"/>
          <w:szCs w:val="18"/>
        </w:rPr>
        <w:t xml:space="preserve">” </w:t>
      </w:r>
      <w:r w:rsidRPr="00570EBF">
        <w:rPr>
          <w:rFonts w:ascii="Arial" w:hAnsi="Arial" w:cs="Arial"/>
          <w:i/>
          <w:sz w:val="18"/>
          <w:szCs w:val="18"/>
        </w:rPr>
        <w:t>(</w:t>
      </w:r>
      <w:r w:rsidRPr="00570EBF">
        <w:rPr>
          <w:rFonts w:ascii="Arial" w:hAnsi="Arial" w:cs="Arial"/>
          <w:sz w:val="18"/>
          <w:szCs w:val="18"/>
        </w:rPr>
        <w:t>UK in a changing Europe</w:t>
      </w:r>
      <w:r w:rsidRPr="00570EBF">
        <w:rPr>
          <w:rFonts w:ascii="Arial" w:hAnsi="Arial" w:cs="Arial"/>
          <w:i/>
          <w:iCs/>
          <w:sz w:val="18"/>
          <w:szCs w:val="18"/>
        </w:rPr>
        <w:t xml:space="preserve">, </w:t>
      </w:r>
      <w:r w:rsidRPr="00570EBF">
        <w:rPr>
          <w:rFonts w:ascii="Arial" w:hAnsi="Arial" w:cs="Arial"/>
          <w:sz w:val="18"/>
          <w:szCs w:val="18"/>
        </w:rPr>
        <w:t>February 12, 2025).</w:t>
      </w:r>
    </w:p>
  </w:footnote>
  <w:footnote w:id="68">
    <w:p w14:paraId="397958CE" w14:textId="055CC6E1"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3A459975" w:rsidRPr="00570EBF">
        <w:rPr>
          <w:rFonts w:ascii="Arial" w:hAnsi="Arial" w:cs="Arial"/>
          <w:sz w:val="18"/>
          <w:szCs w:val="18"/>
        </w:rPr>
        <w:t xml:space="preserve"> “</w:t>
      </w:r>
      <w:hyperlink r:id="rId26">
        <w:r w:rsidR="3A459975" w:rsidRPr="00570EBF">
          <w:rPr>
            <w:rStyle w:val="Hyperlink"/>
            <w:rFonts w:ascii="Arial" w:hAnsi="Arial" w:cs="Arial"/>
            <w:sz w:val="18"/>
            <w:szCs w:val="18"/>
          </w:rPr>
          <w:t>https://www.coe.int/en/web/migration-and-refugees/frequently-asked-questions-european-court-of-human-rights-and-migration</w:t>
        </w:r>
      </w:hyperlink>
      <w:r w:rsidR="3A459975" w:rsidRPr="00570EBF">
        <w:rPr>
          <w:rFonts w:ascii="Arial" w:hAnsi="Arial" w:cs="Arial"/>
          <w:sz w:val="18"/>
          <w:szCs w:val="18"/>
        </w:rPr>
        <w:t xml:space="preserve"> ” (Division on Migration and Refugees</w:t>
      </w:r>
      <w:r w:rsidR="3A459975" w:rsidRPr="00570EBF">
        <w:rPr>
          <w:rFonts w:ascii="Arial" w:hAnsi="Arial" w:cs="Arial"/>
          <w:i/>
          <w:iCs/>
          <w:sz w:val="18"/>
          <w:szCs w:val="18"/>
        </w:rPr>
        <w:t xml:space="preserve">, </w:t>
      </w:r>
      <w:r w:rsidR="3A459975" w:rsidRPr="00570EBF">
        <w:rPr>
          <w:rFonts w:ascii="Arial" w:hAnsi="Arial" w:cs="Arial"/>
          <w:sz w:val="18"/>
          <w:szCs w:val="18"/>
        </w:rPr>
        <w:t xml:space="preserve">2022); </w:t>
      </w:r>
      <w:r w:rsidR="7B9801AC" w:rsidRPr="00570EBF">
        <w:rPr>
          <w:rFonts w:ascii="Arial" w:hAnsi="Arial" w:cs="Arial"/>
          <w:sz w:val="18"/>
          <w:szCs w:val="18"/>
        </w:rPr>
        <w:t xml:space="preserve">European Parliamentary Research Service Briefing, </w:t>
      </w:r>
      <w:r w:rsidR="01675A77" w:rsidRPr="00570EBF">
        <w:rPr>
          <w:rFonts w:ascii="Arial" w:hAnsi="Arial" w:cs="Arial"/>
          <w:sz w:val="18"/>
          <w:szCs w:val="18"/>
        </w:rPr>
        <w:t>’</w:t>
      </w:r>
      <w:hyperlink r:id="rId27">
        <w:r w:rsidR="01675A77" w:rsidRPr="00570EBF">
          <w:rPr>
            <w:rStyle w:val="Hyperlink"/>
            <w:rFonts w:ascii="Arial" w:hAnsi="Arial" w:cs="Arial"/>
            <w:sz w:val="18"/>
            <w:szCs w:val="18"/>
          </w:rPr>
          <w:t>Migration and the European Convention on Human Rights: Legal requirements, calls for reform and resulting developments</w:t>
        </w:r>
      </w:hyperlink>
      <w:r w:rsidR="01675A77" w:rsidRPr="00570EBF">
        <w:rPr>
          <w:rFonts w:ascii="Arial" w:hAnsi="Arial" w:cs="Arial"/>
          <w:sz w:val="18"/>
          <w:szCs w:val="18"/>
        </w:rPr>
        <w:t>’</w:t>
      </w:r>
      <w:r w:rsidR="15E01694" w:rsidRPr="00570EBF">
        <w:rPr>
          <w:rFonts w:ascii="Arial" w:hAnsi="Arial" w:cs="Arial"/>
          <w:sz w:val="18"/>
          <w:szCs w:val="18"/>
        </w:rPr>
        <w:t xml:space="preserve"> (June 2026).</w:t>
      </w:r>
    </w:p>
  </w:footnote>
  <w:footnote w:id="69">
    <w:p w14:paraId="7978146E" w14:textId="3BE606F0" w:rsidR="00014218" w:rsidRPr="00570EBF" w:rsidRDefault="00014218">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AF7A10" w:rsidRPr="00570EBF">
        <w:rPr>
          <w:rFonts w:ascii="Arial" w:hAnsi="Arial" w:cs="Arial"/>
          <w:sz w:val="18"/>
          <w:szCs w:val="18"/>
        </w:rPr>
        <w:t>Dr Alice Donald, Dr Joelle Grogan and Victoria Adelmant, “</w:t>
      </w:r>
      <w:hyperlink r:id="rId28" w:history="1">
        <w:r w:rsidR="00AF7A10" w:rsidRPr="00570EBF">
          <w:rPr>
            <w:rStyle w:val="Hyperlink"/>
            <w:rFonts w:ascii="Arial" w:hAnsi="Arial" w:cs="Arial"/>
            <w:sz w:val="18"/>
            <w:szCs w:val="18"/>
          </w:rPr>
          <w:t>Explainer: Does the European Convention on Human Rights Stop Foreign Criminals Being Removed from the UK? - UK in a Changing Europe</w:t>
        </w:r>
      </w:hyperlink>
      <w:r w:rsidR="00AF7A10" w:rsidRPr="00570EBF">
        <w:rPr>
          <w:rFonts w:ascii="Arial" w:hAnsi="Arial" w:cs="Arial"/>
          <w:sz w:val="18"/>
          <w:szCs w:val="18"/>
        </w:rPr>
        <w:t>” (UK in a changing Europe</w:t>
      </w:r>
      <w:r w:rsidR="00AF7A10" w:rsidRPr="00570EBF">
        <w:rPr>
          <w:rFonts w:ascii="Arial" w:hAnsi="Arial" w:cs="Arial"/>
          <w:i/>
          <w:iCs/>
          <w:sz w:val="18"/>
          <w:szCs w:val="18"/>
        </w:rPr>
        <w:t xml:space="preserve">, </w:t>
      </w:r>
      <w:r w:rsidR="00AF7A10" w:rsidRPr="00570EBF">
        <w:rPr>
          <w:rFonts w:ascii="Arial" w:hAnsi="Arial" w:cs="Arial"/>
          <w:sz w:val="18"/>
          <w:szCs w:val="18"/>
        </w:rPr>
        <w:t>September 18, 2025).</w:t>
      </w:r>
    </w:p>
  </w:footnote>
  <w:footnote w:id="70">
    <w:p w14:paraId="7F50BC5C" w14:textId="3642F410"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8C4FDD" w:rsidRPr="00570EBF">
        <w:rPr>
          <w:rFonts w:ascii="Arial" w:hAnsi="Arial" w:cs="Arial"/>
          <w:sz w:val="18"/>
          <w:szCs w:val="18"/>
        </w:rPr>
        <w:t>CJ McKinney, Melanie Gower, and Joanna Dawson, ‘</w:t>
      </w:r>
      <w:hyperlink r:id="rId29" w:history="1">
        <w:r w:rsidR="008C4FDD" w:rsidRPr="00570EBF">
          <w:rPr>
            <w:rStyle w:val="Hyperlink"/>
            <w:rFonts w:ascii="Arial" w:hAnsi="Arial" w:cs="Arial"/>
            <w:sz w:val="18"/>
            <w:szCs w:val="18"/>
          </w:rPr>
          <w:t>Immigration and the ECHR</w:t>
        </w:r>
      </w:hyperlink>
      <w:r w:rsidR="008C4FDD" w:rsidRPr="00570EBF">
        <w:rPr>
          <w:rFonts w:ascii="Arial" w:hAnsi="Arial" w:cs="Arial"/>
          <w:sz w:val="18"/>
          <w:szCs w:val="18"/>
        </w:rPr>
        <w:t>’ (House of Commons Library</w:t>
      </w:r>
      <w:r w:rsidR="008E4ED2" w:rsidRPr="00570EBF">
        <w:rPr>
          <w:rFonts w:ascii="Arial" w:hAnsi="Arial" w:cs="Arial"/>
          <w:sz w:val="18"/>
          <w:szCs w:val="18"/>
        </w:rPr>
        <w:t xml:space="preserve">, 27 October 2025) </w:t>
      </w:r>
      <w:r w:rsidR="00B72DA6" w:rsidRPr="00570EBF">
        <w:rPr>
          <w:rFonts w:ascii="Arial" w:hAnsi="Arial" w:cs="Arial"/>
          <w:sz w:val="18"/>
          <w:szCs w:val="18"/>
        </w:rPr>
        <w:t>5.</w:t>
      </w:r>
    </w:p>
  </w:footnote>
  <w:footnote w:id="71">
    <w:p w14:paraId="57571A58" w14:textId="38D6C56F"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5713E947" w:rsidRPr="00570EBF">
        <w:rPr>
          <w:rFonts w:ascii="Arial" w:hAnsi="Arial" w:cs="Arial"/>
          <w:sz w:val="18"/>
          <w:szCs w:val="18"/>
        </w:rPr>
        <w:t xml:space="preserve"> Victoria Adelmant, Alice Donald and Başak </w:t>
      </w:r>
      <w:proofErr w:type="spellStart"/>
      <w:r w:rsidR="5713E947" w:rsidRPr="00570EBF">
        <w:rPr>
          <w:rFonts w:ascii="Arial" w:hAnsi="Arial" w:cs="Arial"/>
          <w:sz w:val="18"/>
          <w:szCs w:val="18"/>
        </w:rPr>
        <w:t>Çalı</w:t>
      </w:r>
      <w:proofErr w:type="spellEnd"/>
      <w:r w:rsidR="5713E947" w:rsidRPr="00570EBF">
        <w:rPr>
          <w:rFonts w:ascii="Arial" w:hAnsi="Arial" w:cs="Arial"/>
          <w:sz w:val="18"/>
          <w:szCs w:val="18"/>
        </w:rPr>
        <w:t>, “</w:t>
      </w:r>
      <w:hyperlink r:id="rId30">
        <w:r w:rsidR="5713E947" w:rsidRPr="00570EBF">
          <w:rPr>
            <w:rStyle w:val="Hyperlink"/>
            <w:rFonts w:ascii="Arial" w:hAnsi="Arial" w:cs="Arial"/>
            <w:sz w:val="18"/>
            <w:szCs w:val="18"/>
          </w:rPr>
          <w:t>REP RTS The European Convention on Human Rights and Immigration Control in the UK: Informing the Public Debate</w:t>
        </w:r>
      </w:hyperlink>
      <w:r w:rsidR="5713E947" w:rsidRPr="00570EBF">
        <w:rPr>
          <w:rFonts w:ascii="Arial" w:hAnsi="Arial" w:cs="Arial"/>
          <w:sz w:val="18"/>
          <w:szCs w:val="18"/>
        </w:rPr>
        <w:t>” (</w:t>
      </w:r>
      <w:proofErr w:type="spellStart"/>
      <w:r w:rsidR="3D9C814B" w:rsidRPr="00570EBF">
        <w:rPr>
          <w:rFonts w:ascii="Arial" w:hAnsi="Arial" w:cs="Arial"/>
          <w:sz w:val="18"/>
          <w:szCs w:val="18"/>
        </w:rPr>
        <w:t>Bonavero</w:t>
      </w:r>
      <w:proofErr w:type="spellEnd"/>
      <w:r w:rsidR="3D9C814B" w:rsidRPr="00570EBF">
        <w:rPr>
          <w:rFonts w:ascii="Arial" w:hAnsi="Arial" w:cs="Arial"/>
          <w:sz w:val="18"/>
          <w:szCs w:val="18"/>
        </w:rPr>
        <w:t xml:space="preserve"> Reports, 4 September 2025) 4.</w:t>
      </w:r>
    </w:p>
  </w:footnote>
  <w:footnote w:id="72">
    <w:p w14:paraId="3B67A435" w14:textId="4C7476A7" w:rsidR="3D916DE3" w:rsidRPr="00570EBF" w:rsidRDefault="3D916DE3" w:rsidP="3D916DE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Explanatory Notes (n </w:t>
      </w:r>
      <w:r w:rsidRPr="00570EBF">
        <w:rPr>
          <w:rFonts w:ascii="Arial" w:hAnsi="Arial" w:cs="Arial"/>
          <w:sz w:val="18"/>
          <w:szCs w:val="18"/>
        </w:rPr>
        <w:fldChar w:fldCharType="begin"/>
      </w:r>
      <w:r w:rsidRPr="00570EBF">
        <w:rPr>
          <w:rFonts w:ascii="Arial" w:hAnsi="Arial" w:cs="Arial"/>
          <w:sz w:val="18"/>
          <w:szCs w:val="18"/>
        </w:rPr>
        <w:instrText xml:space="preserve"> NOTEREF _Ref234484475 \h </w:instrText>
      </w:r>
      <w:r w:rsidR="00624A32" w:rsidRPr="00570EBF">
        <w:rPr>
          <w:rFonts w:ascii="Arial" w:hAnsi="Arial" w:cs="Arial"/>
          <w:sz w:val="18"/>
          <w:szCs w:val="18"/>
        </w:rPr>
        <w:instrText xml:space="preserve"> \* MERGEFORMAT </w:instrText>
      </w:r>
      <w:r w:rsidRPr="00570EBF">
        <w:rPr>
          <w:rFonts w:ascii="Arial" w:hAnsi="Arial" w:cs="Arial"/>
          <w:sz w:val="18"/>
          <w:szCs w:val="18"/>
        </w:rPr>
      </w:r>
      <w:r w:rsidRPr="00570EBF">
        <w:rPr>
          <w:rFonts w:ascii="Arial" w:hAnsi="Arial" w:cs="Arial"/>
          <w:sz w:val="18"/>
          <w:szCs w:val="18"/>
        </w:rPr>
        <w:fldChar w:fldCharType="separate"/>
      </w:r>
      <w:r w:rsidRPr="00570EBF">
        <w:rPr>
          <w:rFonts w:ascii="Arial" w:hAnsi="Arial" w:cs="Arial"/>
          <w:sz w:val="18"/>
          <w:szCs w:val="18"/>
        </w:rPr>
        <w:t>25</w:t>
      </w:r>
      <w:r w:rsidRPr="00570EBF">
        <w:rPr>
          <w:rFonts w:ascii="Arial" w:hAnsi="Arial" w:cs="Arial"/>
          <w:sz w:val="18"/>
          <w:szCs w:val="18"/>
        </w:rPr>
        <w:fldChar w:fldCharType="end"/>
      </w:r>
      <w:r w:rsidRPr="00570EBF">
        <w:rPr>
          <w:rFonts w:ascii="Arial" w:hAnsi="Arial" w:cs="Arial"/>
          <w:sz w:val="18"/>
          <w:szCs w:val="18"/>
        </w:rPr>
        <w:t xml:space="preserve">) para </w:t>
      </w:r>
      <w:r w:rsidRPr="00570EBF">
        <w:rPr>
          <w:rFonts w:ascii="Arial" w:hAnsi="Arial" w:cs="Arial"/>
          <w:color w:val="0D0D0D" w:themeColor="text1" w:themeTint="F2"/>
          <w:sz w:val="18"/>
          <w:szCs w:val="18"/>
        </w:rPr>
        <w:t>28.</w:t>
      </w:r>
    </w:p>
  </w:footnote>
  <w:footnote w:id="73">
    <w:p w14:paraId="2747DB1B" w14:textId="3DFF6C12" w:rsidR="102FD8B4" w:rsidRPr="00570EBF" w:rsidRDefault="102FD8B4" w:rsidP="102FD8B4">
      <w:pPr>
        <w:pStyle w:val="FootnoteText"/>
        <w:rPr>
          <w:rFonts w:ascii="Arial" w:hAnsi="Arial" w:cs="Arial"/>
          <w:sz w:val="18"/>
          <w:szCs w:val="18"/>
          <w:highlight w:val="yellow"/>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Impact Assessment para 44.</w:t>
      </w:r>
    </w:p>
  </w:footnote>
  <w:footnote w:id="74">
    <w:p w14:paraId="19E5765B" w14:textId="755CD543"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ILPA, “</w:t>
      </w:r>
      <w:hyperlink r:id="rId31" w:history="1">
        <w:r w:rsidRPr="00570EBF">
          <w:rPr>
            <w:rStyle w:val="Hyperlink"/>
            <w:rFonts w:ascii="Arial" w:hAnsi="Arial" w:cs="Arial"/>
            <w:sz w:val="18"/>
            <w:szCs w:val="18"/>
          </w:rPr>
          <w:t>Statement of Consensus, November 2025</w:t>
        </w:r>
      </w:hyperlink>
      <w:r w:rsidRPr="00570EBF">
        <w:rPr>
          <w:rFonts w:ascii="Arial" w:hAnsi="Arial" w:cs="Arial"/>
          <w:sz w:val="18"/>
          <w:szCs w:val="18"/>
        </w:rPr>
        <w:t>” (November 25, 2025).</w:t>
      </w:r>
    </w:p>
  </w:footnote>
  <w:footnote w:id="75">
    <w:p w14:paraId="244DF6FA" w14:textId="0AC2CCE9"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00EA483D" w:rsidRPr="00570EBF">
        <w:rPr>
          <w:rFonts w:ascii="Arial" w:hAnsi="Arial" w:cs="Arial"/>
          <w:sz w:val="18"/>
          <w:szCs w:val="18"/>
        </w:rPr>
        <w:t xml:space="preserve"> </w:t>
      </w:r>
      <w:r w:rsidR="00EA483D" w:rsidRPr="00570EBF">
        <w:rPr>
          <w:rFonts w:ascii="Arial" w:hAnsi="Arial" w:cs="Arial"/>
          <w:i/>
          <w:iCs/>
          <w:sz w:val="18"/>
          <w:szCs w:val="18"/>
        </w:rPr>
        <w:t>MA v Denmark</w:t>
      </w:r>
      <w:r w:rsidR="00EA483D" w:rsidRPr="00570EBF">
        <w:rPr>
          <w:rFonts w:ascii="Arial" w:hAnsi="Arial" w:cs="Arial"/>
          <w:sz w:val="18"/>
          <w:szCs w:val="18"/>
        </w:rPr>
        <w:t xml:space="preserve"> </w:t>
      </w:r>
      <w:r w:rsidR="007623E7" w:rsidRPr="00570EBF">
        <w:rPr>
          <w:rFonts w:ascii="Arial" w:hAnsi="Arial" w:cs="Arial"/>
          <w:sz w:val="18"/>
          <w:szCs w:val="18"/>
        </w:rPr>
        <w:t>(</w:t>
      </w:r>
      <w:r w:rsidR="00EA483D" w:rsidRPr="00570EBF">
        <w:rPr>
          <w:rFonts w:ascii="Arial" w:hAnsi="Arial" w:cs="Arial"/>
          <w:sz w:val="18"/>
          <w:szCs w:val="18"/>
        </w:rPr>
        <w:t>6697/18</w:t>
      </w:r>
      <w:r w:rsidR="008126CB" w:rsidRPr="00570EBF">
        <w:rPr>
          <w:rFonts w:ascii="Arial" w:hAnsi="Arial" w:cs="Arial"/>
          <w:sz w:val="18"/>
          <w:szCs w:val="18"/>
        </w:rPr>
        <w:t xml:space="preserve">) </w:t>
      </w:r>
      <w:r w:rsidR="00281D32" w:rsidRPr="00570EBF">
        <w:rPr>
          <w:rFonts w:ascii="Arial" w:hAnsi="Arial" w:cs="Arial"/>
          <w:sz w:val="18"/>
          <w:szCs w:val="18"/>
        </w:rPr>
        <w:t>[20</w:t>
      </w:r>
      <w:r w:rsidR="00E93680" w:rsidRPr="00570EBF">
        <w:rPr>
          <w:rFonts w:ascii="Arial" w:hAnsi="Arial" w:cs="Arial"/>
          <w:sz w:val="18"/>
          <w:szCs w:val="18"/>
        </w:rPr>
        <w:t>21</w:t>
      </w:r>
      <w:r w:rsidR="00281D32" w:rsidRPr="00570EBF">
        <w:rPr>
          <w:rFonts w:ascii="Arial" w:hAnsi="Arial" w:cs="Arial"/>
          <w:sz w:val="18"/>
          <w:szCs w:val="18"/>
        </w:rPr>
        <w:t>]</w:t>
      </w:r>
      <w:r w:rsidR="00E93680" w:rsidRPr="00570EBF">
        <w:rPr>
          <w:rFonts w:ascii="Arial" w:hAnsi="Arial" w:cs="Arial"/>
          <w:sz w:val="18"/>
          <w:szCs w:val="18"/>
        </w:rPr>
        <w:t>;</w:t>
      </w:r>
      <w:r w:rsidRPr="00570EBF">
        <w:rPr>
          <w:rFonts w:ascii="Arial" w:hAnsi="Arial" w:cs="Arial"/>
          <w:sz w:val="18"/>
          <w:szCs w:val="18"/>
        </w:rPr>
        <w:t xml:space="preserve"> ILPA, “</w:t>
      </w:r>
      <w:hyperlink r:id="rId32" w:history="1">
        <w:r w:rsidRPr="00570EBF">
          <w:rPr>
            <w:rStyle w:val="Hyperlink"/>
            <w:rFonts w:ascii="Arial" w:hAnsi="Arial" w:cs="Arial"/>
            <w:sz w:val="18"/>
            <w:szCs w:val="18"/>
          </w:rPr>
          <w:t>Statement of Consensus, November 2025</w:t>
        </w:r>
      </w:hyperlink>
      <w:r w:rsidRPr="00570EBF">
        <w:rPr>
          <w:rFonts w:ascii="Arial" w:hAnsi="Arial" w:cs="Arial"/>
          <w:sz w:val="18"/>
          <w:szCs w:val="18"/>
        </w:rPr>
        <w:t>” (November 25, 2025).</w:t>
      </w:r>
    </w:p>
  </w:footnote>
  <w:footnote w:id="76">
    <w:p w14:paraId="5E089FF9" w14:textId="2AF8CF4B" w:rsidR="00651471" w:rsidRPr="00570EBF" w:rsidRDefault="00651471" w:rsidP="00651471">
      <w:pPr>
        <w:pStyle w:val="FootnoteText"/>
        <w:contextualSpacing/>
        <w:rPr>
          <w:rFonts w:ascii="Arial" w:hAnsi="Arial" w:cs="Arial"/>
          <w:color w:val="0D0D0D" w:themeColor="text1" w:themeTint="F2"/>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DA2CAE" w:rsidRPr="00570EBF">
        <w:rPr>
          <w:rFonts w:ascii="Arial" w:hAnsi="Arial" w:cs="Arial"/>
          <w:sz w:val="18"/>
          <w:szCs w:val="18"/>
        </w:rPr>
        <w:t xml:space="preserve">Immigration and Asylum Bill Explanatory Notes (n </w:t>
      </w:r>
      <w:r w:rsidR="00DA2CAE" w:rsidRPr="00570EBF">
        <w:rPr>
          <w:rFonts w:ascii="Arial" w:hAnsi="Arial" w:cs="Arial"/>
          <w:sz w:val="18"/>
          <w:szCs w:val="18"/>
        </w:rPr>
        <w:fldChar w:fldCharType="begin"/>
      </w:r>
      <w:r w:rsidR="00DA2CAE" w:rsidRPr="00570EBF">
        <w:rPr>
          <w:rFonts w:ascii="Arial" w:hAnsi="Arial" w:cs="Arial"/>
          <w:sz w:val="18"/>
          <w:szCs w:val="18"/>
        </w:rPr>
        <w:instrText xml:space="preserve"> NOTEREF _Ref234484475 \h </w:instrText>
      </w:r>
      <w:r w:rsidR="00624A32" w:rsidRPr="00570EBF">
        <w:rPr>
          <w:rFonts w:ascii="Arial" w:hAnsi="Arial" w:cs="Arial"/>
          <w:sz w:val="18"/>
          <w:szCs w:val="18"/>
        </w:rPr>
        <w:instrText xml:space="preserve"> \* MERGEFORMAT </w:instrText>
      </w:r>
      <w:r w:rsidR="00DA2CAE" w:rsidRPr="00570EBF">
        <w:rPr>
          <w:rFonts w:ascii="Arial" w:hAnsi="Arial" w:cs="Arial"/>
          <w:sz w:val="18"/>
          <w:szCs w:val="18"/>
        </w:rPr>
      </w:r>
      <w:r w:rsidR="00DA2CAE" w:rsidRPr="00570EBF">
        <w:rPr>
          <w:rFonts w:ascii="Arial" w:hAnsi="Arial" w:cs="Arial"/>
          <w:sz w:val="18"/>
          <w:szCs w:val="18"/>
        </w:rPr>
        <w:fldChar w:fldCharType="separate"/>
      </w:r>
      <w:r w:rsidR="00DA2CAE" w:rsidRPr="00570EBF">
        <w:rPr>
          <w:rFonts w:ascii="Arial" w:hAnsi="Arial" w:cs="Arial"/>
          <w:sz w:val="18"/>
          <w:szCs w:val="18"/>
        </w:rPr>
        <w:t>25</w:t>
      </w:r>
      <w:r w:rsidR="00DA2CAE" w:rsidRPr="00570EBF">
        <w:rPr>
          <w:rFonts w:ascii="Arial" w:hAnsi="Arial" w:cs="Arial"/>
          <w:sz w:val="18"/>
          <w:szCs w:val="18"/>
        </w:rPr>
        <w:fldChar w:fldCharType="end"/>
      </w:r>
      <w:r w:rsidR="00DA2CAE" w:rsidRPr="00570EBF">
        <w:rPr>
          <w:rFonts w:ascii="Arial" w:hAnsi="Arial" w:cs="Arial"/>
          <w:color w:val="0D0D0D" w:themeColor="text1" w:themeTint="F2"/>
          <w:sz w:val="18"/>
          <w:szCs w:val="18"/>
        </w:rPr>
        <w:t xml:space="preserve">) </w:t>
      </w:r>
      <w:r w:rsidR="00E93680" w:rsidRPr="00570EBF">
        <w:rPr>
          <w:rFonts w:ascii="Arial" w:hAnsi="Arial" w:cs="Arial"/>
          <w:color w:val="0D0D0D" w:themeColor="text1" w:themeTint="F2"/>
          <w:sz w:val="18"/>
          <w:szCs w:val="18"/>
        </w:rPr>
        <w:t>para</w:t>
      </w:r>
      <w:r w:rsidR="00EC6F97" w:rsidRPr="00570EBF">
        <w:rPr>
          <w:rFonts w:ascii="Arial" w:hAnsi="Arial" w:cs="Arial"/>
          <w:color w:val="0D0D0D" w:themeColor="text1" w:themeTint="F2"/>
          <w:sz w:val="18"/>
          <w:szCs w:val="18"/>
        </w:rPr>
        <w:t xml:space="preserve"> </w:t>
      </w:r>
      <w:r w:rsidR="00DA2CAE" w:rsidRPr="00570EBF">
        <w:rPr>
          <w:rFonts w:ascii="Arial" w:hAnsi="Arial" w:cs="Arial"/>
          <w:color w:val="0D0D0D" w:themeColor="text1" w:themeTint="F2"/>
          <w:sz w:val="18"/>
          <w:szCs w:val="18"/>
        </w:rPr>
        <w:t>25.</w:t>
      </w:r>
      <w:r w:rsidRPr="00570EBF">
        <w:rPr>
          <w:rFonts w:ascii="Arial" w:hAnsi="Arial" w:cs="Arial"/>
          <w:color w:val="0D0D0D" w:themeColor="text1" w:themeTint="F2"/>
          <w:sz w:val="18"/>
          <w:szCs w:val="18"/>
        </w:rPr>
        <w:t> </w:t>
      </w:r>
    </w:p>
  </w:footnote>
  <w:footnote w:id="77">
    <w:p w14:paraId="0BEDF46B" w14:textId="70837071"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EC6F97" w:rsidRPr="00570EBF">
        <w:rPr>
          <w:rFonts w:ascii="Arial" w:hAnsi="Arial" w:cs="Arial"/>
          <w:sz w:val="18"/>
          <w:szCs w:val="18"/>
        </w:rPr>
        <w:t>Nationality and Asylum Act 2002 s.5</w:t>
      </w:r>
      <w:r w:rsidR="00E01996" w:rsidRPr="00570EBF">
        <w:rPr>
          <w:rFonts w:ascii="Arial" w:hAnsi="Arial" w:cs="Arial"/>
          <w:sz w:val="18"/>
          <w:szCs w:val="18"/>
        </w:rPr>
        <w:t>A.</w:t>
      </w:r>
    </w:p>
  </w:footnote>
  <w:footnote w:id="78">
    <w:p w14:paraId="42C661FF" w14:textId="27005709"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E01996" w:rsidRPr="00570EBF">
        <w:rPr>
          <w:rFonts w:ascii="Arial" w:hAnsi="Arial" w:cs="Arial"/>
          <w:sz w:val="18"/>
          <w:szCs w:val="18"/>
        </w:rPr>
        <w:t xml:space="preserve">Immigration Act 2014 </w:t>
      </w:r>
      <w:r w:rsidR="00345CB1" w:rsidRPr="00570EBF">
        <w:rPr>
          <w:rFonts w:ascii="Arial" w:hAnsi="Arial" w:cs="Arial"/>
          <w:sz w:val="18"/>
          <w:szCs w:val="18"/>
        </w:rPr>
        <w:t>Part 2.</w:t>
      </w:r>
    </w:p>
  </w:footnote>
  <w:footnote w:id="79">
    <w:p w14:paraId="4FAA4528" w14:textId="538D7DD0"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Human Rights Act 1998, Schedule 1, Article 8.</w:t>
      </w:r>
    </w:p>
  </w:footnote>
  <w:footnote w:id="80">
    <w:p w14:paraId="522C0159" w14:textId="0C1A034B"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E6500C" w:rsidRPr="00E6500C">
        <w:rPr>
          <w:rFonts w:ascii="Arial" w:eastAsia="Times New Roman" w:hAnsi="Arial" w:cs="Arial"/>
          <w:sz w:val="18"/>
          <w:szCs w:val="18"/>
        </w:rPr>
        <w:t xml:space="preserve">Home Office, </w:t>
      </w:r>
      <w:hyperlink r:id="rId33" w:history="1">
        <w:r w:rsidR="00E6500C" w:rsidRPr="0001105A">
          <w:rPr>
            <w:rStyle w:val="Hyperlink"/>
            <w:rFonts w:ascii="Arial" w:eastAsia="Times New Roman" w:hAnsi="Arial" w:cs="Arial"/>
            <w:i/>
            <w:iCs/>
            <w:sz w:val="18"/>
            <w:szCs w:val="18"/>
          </w:rPr>
          <w:t>Immigration and Asylum Bill: European Convention on Human Rights Memorandum</w:t>
        </w:r>
      </w:hyperlink>
      <w:r w:rsidR="003A29B3">
        <w:rPr>
          <w:rFonts w:ascii="Arial" w:eastAsia="Times New Roman" w:hAnsi="Arial" w:cs="Arial"/>
          <w:sz w:val="18"/>
          <w:szCs w:val="18"/>
        </w:rPr>
        <w:t xml:space="preserve">, </w:t>
      </w:r>
      <w:r w:rsidR="00D903E0">
        <w:rPr>
          <w:rFonts w:ascii="Arial" w:eastAsia="Times New Roman" w:hAnsi="Arial" w:cs="Arial"/>
          <w:sz w:val="18"/>
          <w:szCs w:val="18"/>
        </w:rPr>
        <w:t xml:space="preserve">(2026). </w:t>
      </w:r>
    </w:p>
  </w:footnote>
  <w:footnote w:id="81">
    <w:p w14:paraId="167F487B" w14:textId="2BD8A9A6"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0B20CD" w:rsidRPr="00570EBF">
        <w:rPr>
          <w:rFonts w:ascii="Arial" w:hAnsi="Arial" w:cs="Arial"/>
          <w:sz w:val="18"/>
          <w:szCs w:val="18"/>
        </w:rPr>
        <w:t>Home Office guidance,</w:t>
      </w:r>
      <w:r w:rsidRPr="00570EBF">
        <w:rPr>
          <w:rFonts w:ascii="Arial" w:hAnsi="Arial" w:cs="Arial"/>
          <w:sz w:val="18"/>
          <w:szCs w:val="18"/>
        </w:rPr>
        <w:t xml:space="preserve"> “</w:t>
      </w:r>
      <w:hyperlink r:id="rId34" w:history="1">
        <w:r w:rsidRPr="00570EBF">
          <w:rPr>
            <w:rStyle w:val="Hyperlink"/>
            <w:rFonts w:ascii="Arial" w:hAnsi="Arial" w:cs="Arial"/>
            <w:sz w:val="18"/>
            <w:szCs w:val="18"/>
          </w:rPr>
          <w:t>Family Reunion: Caseworker Guidance</w:t>
        </w:r>
      </w:hyperlink>
      <w:r w:rsidRPr="00570EBF">
        <w:rPr>
          <w:rFonts w:ascii="Arial" w:hAnsi="Arial" w:cs="Arial"/>
          <w:sz w:val="18"/>
          <w:szCs w:val="18"/>
        </w:rPr>
        <w:t>” (July 5, 2011)</w:t>
      </w:r>
      <w:r w:rsidR="007D0D95" w:rsidRPr="00570EBF">
        <w:rPr>
          <w:rFonts w:ascii="Arial" w:hAnsi="Arial" w:cs="Arial"/>
          <w:sz w:val="18"/>
          <w:szCs w:val="18"/>
        </w:rPr>
        <w:t>.</w:t>
      </w:r>
      <w:r w:rsidRPr="00570EBF">
        <w:rPr>
          <w:rFonts w:ascii="Arial" w:hAnsi="Arial" w:cs="Arial"/>
          <w:sz w:val="18"/>
          <w:szCs w:val="18"/>
        </w:rPr>
        <w:t xml:space="preserve"> </w:t>
      </w:r>
    </w:p>
  </w:footnote>
  <w:footnote w:id="82">
    <w:p w14:paraId="35BB2D20" w14:textId="4230630A" w:rsidR="00A94D57" w:rsidRPr="00550A51" w:rsidRDefault="00A94D57">
      <w:pPr>
        <w:pStyle w:val="FootnoteText"/>
        <w:rPr>
          <w:rFonts w:ascii="Arial" w:hAnsi="Arial" w:cs="Arial"/>
          <w:sz w:val="18"/>
          <w:szCs w:val="18"/>
        </w:rPr>
      </w:pPr>
      <w:r w:rsidRPr="00550A51">
        <w:rPr>
          <w:rStyle w:val="FootnoteReference"/>
          <w:rFonts w:ascii="Arial" w:hAnsi="Arial" w:cs="Arial"/>
          <w:sz w:val="18"/>
          <w:szCs w:val="18"/>
        </w:rPr>
        <w:footnoteRef/>
      </w:r>
      <w:r w:rsidRPr="00550A51">
        <w:rPr>
          <w:rFonts w:ascii="Arial" w:hAnsi="Arial" w:cs="Arial"/>
          <w:sz w:val="18"/>
          <w:szCs w:val="18"/>
        </w:rPr>
        <w:t xml:space="preserve"> </w:t>
      </w:r>
      <w:r w:rsidR="00DD6FF9" w:rsidRPr="00550A51">
        <w:rPr>
          <w:rFonts w:ascii="Arial" w:hAnsi="Arial" w:cs="Arial"/>
          <w:i/>
          <w:iCs/>
          <w:sz w:val="18"/>
          <w:szCs w:val="18"/>
        </w:rPr>
        <w:t xml:space="preserve">Kugathas v Secretary of State for the Home Department </w:t>
      </w:r>
      <w:r w:rsidR="00DD6FF9" w:rsidRPr="00550A51">
        <w:rPr>
          <w:rFonts w:ascii="Arial" w:hAnsi="Arial" w:cs="Arial"/>
          <w:sz w:val="18"/>
          <w:szCs w:val="18"/>
        </w:rPr>
        <w:t xml:space="preserve">[2003] EWCA </w:t>
      </w:r>
      <w:proofErr w:type="spellStart"/>
      <w:r w:rsidR="00DD6FF9" w:rsidRPr="00550A51">
        <w:rPr>
          <w:rFonts w:ascii="Arial" w:hAnsi="Arial" w:cs="Arial"/>
          <w:sz w:val="18"/>
          <w:szCs w:val="18"/>
        </w:rPr>
        <w:t>Civ</w:t>
      </w:r>
      <w:proofErr w:type="spellEnd"/>
      <w:r w:rsidR="00DD6FF9" w:rsidRPr="00550A51">
        <w:rPr>
          <w:rFonts w:ascii="Arial" w:hAnsi="Arial" w:cs="Arial"/>
          <w:sz w:val="18"/>
          <w:szCs w:val="18"/>
        </w:rPr>
        <w:t xml:space="preserve"> 31 paras 26-31. </w:t>
      </w:r>
    </w:p>
  </w:footnote>
  <w:footnote w:id="83">
    <w:p w14:paraId="5CD50A44" w14:textId="47F71BE7" w:rsidR="00651471" w:rsidRPr="00550A51" w:rsidRDefault="00651471" w:rsidP="00651471">
      <w:pPr>
        <w:pStyle w:val="FootnoteText"/>
        <w:contextualSpacing/>
        <w:rPr>
          <w:rFonts w:ascii="Arial" w:hAnsi="Arial" w:cs="Arial"/>
          <w:b/>
          <w:sz w:val="18"/>
          <w:szCs w:val="18"/>
        </w:rPr>
      </w:pPr>
      <w:r w:rsidRPr="00550A51">
        <w:rPr>
          <w:rStyle w:val="FootnoteReference"/>
          <w:rFonts w:ascii="Arial" w:hAnsi="Arial" w:cs="Arial"/>
          <w:sz w:val="18"/>
          <w:szCs w:val="18"/>
        </w:rPr>
        <w:footnoteRef/>
      </w:r>
      <w:r w:rsidR="00361736" w:rsidRPr="00550A51">
        <w:rPr>
          <w:rFonts w:ascii="Arial" w:hAnsi="Arial" w:cs="Arial"/>
          <w:b/>
          <w:sz w:val="18"/>
          <w:szCs w:val="18"/>
        </w:rPr>
        <w:t xml:space="preserve"> </w:t>
      </w:r>
      <w:r w:rsidR="00361736" w:rsidRPr="00550A51">
        <w:rPr>
          <w:rFonts w:ascii="Arial" w:hAnsi="Arial" w:cs="Arial"/>
          <w:i/>
          <w:iCs/>
          <w:sz w:val="18"/>
          <w:szCs w:val="18"/>
        </w:rPr>
        <w:t>Kumari v the Netherlands</w:t>
      </w:r>
      <w:r w:rsidR="00361736" w:rsidRPr="00550A51">
        <w:rPr>
          <w:rFonts w:ascii="Arial" w:hAnsi="Arial" w:cs="Arial"/>
          <w:sz w:val="18"/>
          <w:szCs w:val="18"/>
        </w:rPr>
        <w:t xml:space="preserve"> [44051/20</w:t>
      </w:r>
      <w:r w:rsidR="006C0D7C" w:rsidRPr="00550A51">
        <w:rPr>
          <w:rFonts w:ascii="Arial" w:hAnsi="Arial" w:cs="Arial"/>
          <w:sz w:val="18"/>
          <w:szCs w:val="18"/>
        </w:rPr>
        <w:t>] (2024)</w:t>
      </w:r>
      <w:r w:rsidR="00361736" w:rsidRPr="00550A51">
        <w:rPr>
          <w:rFonts w:ascii="Arial" w:hAnsi="Arial" w:cs="Arial"/>
          <w:sz w:val="18"/>
          <w:szCs w:val="18"/>
        </w:rPr>
        <w:t xml:space="preserve">; </w:t>
      </w:r>
      <w:r w:rsidR="00361736" w:rsidRPr="00550A51">
        <w:rPr>
          <w:rFonts w:ascii="Arial" w:hAnsi="Arial" w:cs="Arial"/>
          <w:i/>
          <w:iCs/>
          <w:sz w:val="18"/>
          <w:szCs w:val="18"/>
        </w:rPr>
        <w:t>Martinez Alvarado v the Netherlands</w:t>
      </w:r>
      <w:r w:rsidR="00361736" w:rsidRPr="00550A51">
        <w:rPr>
          <w:rFonts w:ascii="Arial" w:hAnsi="Arial" w:cs="Arial"/>
          <w:sz w:val="18"/>
          <w:szCs w:val="18"/>
        </w:rPr>
        <w:t xml:space="preserve"> [4470/21]</w:t>
      </w:r>
      <w:r w:rsidR="006C0D7C" w:rsidRPr="00550A51">
        <w:rPr>
          <w:rFonts w:ascii="Arial" w:hAnsi="Arial" w:cs="Arial"/>
          <w:sz w:val="18"/>
          <w:szCs w:val="18"/>
        </w:rPr>
        <w:t xml:space="preserve"> (2024)</w:t>
      </w:r>
      <w:r w:rsidR="00361736" w:rsidRPr="00550A51">
        <w:rPr>
          <w:rFonts w:ascii="Arial" w:hAnsi="Arial" w:cs="Arial"/>
          <w:sz w:val="18"/>
          <w:szCs w:val="18"/>
        </w:rPr>
        <w:t>.</w:t>
      </w:r>
    </w:p>
  </w:footnote>
  <w:footnote w:id="84">
    <w:p w14:paraId="2F51843A" w14:textId="77777777" w:rsidR="00651471" w:rsidRPr="00550A51" w:rsidRDefault="00651471" w:rsidP="00651471">
      <w:pPr>
        <w:pStyle w:val="FootnoteText"/>
        <w:contextualSpacing/>
        <w:rPr>
          <w:rFonts w:ascii="Arial" w:hAnsi="Arial" w:cs="Arial"/>
          <w:sz w:val="18"/>
          <w:szCs w:val="18"/>
        </w:rPr>
      </w:pPr>
      <w:r w:rsidRPr="00550A51">
        <w:rPr>
          <w:rStyle w:val="FootnoteReference"/>
          <w:rFonts w:ascii="Arial" w:hAnsi="Arial" w:cs="Arial"/>
          <w:sz w:val="18"/>
          <w:szCs w:val="18"/>
        </w:rPr>
        <w:footnoteRef/>
      </w:r>
      <w:r w:rsidRPr="00550A51">
        <w:rPr>
          <w:rFonts w:ascii="Arial" w:hAnsi="Arial" w:cs="Arial"/>
          <w:sz w:val="18"/>
          <w:szCs w:val="18"/>
        </w:rPr>
        <w:t xml:space="preserve"> </w:t>
      </w:r>
      <w:r w:rsidRPr="00550A51">
        <w:rPr>
          <w:rFonts w:ascii="Arial" w:hAnsi="Arial" w:cs="Arial"/>
          <w:i/>
          <w:sz w:val="18"/>
          <w:szCs w:val="18"/>
        </w:rPr>
        <w:t>IA and Others v Secretary of State for the Home Department</w:t>
      </w:r>
      <w:r w:rsidRPr="00550A51">
        <w:rPr>
          <w:rFonts w:ascii="Arial" w:hAnsi="Arial" w:cs="Arial"/>
          <w:sz w:val="18"/>
          <w:szCs w:val="18"/>
        </w:rPr>
        <w:t xml:space="preserve"> [2025] EWCA </w:t>
      </w:r>
      <w:proofErr w:type="spellStart"/>
      <w:r w:rsidRPr="00550A51">
        <w:rPr>
          <w:rFonts w:ascii="Arial" w:hAnsi="Arial" w:cs="Arial"/>
          <w:sz w:val="18"/>
          <w:szCs w:val="18"/>
        </w:rPr>
        <w:t>Civ</w:t>
      </w:r>
      <w:proofErr w:type="spellEnd"/>
      <w:r w:rsidRPr="00550A51">
        <w:rPr>
          <w:rFonts w:ascii="Arial" w:hAnsi="Arial" w:cs="Arial"/>
          <w:sz w:val="18"/>
          <w:szCs w:val="18"/>
        </w:rPr>
        <w:t xml:space="preserve"> 1516.</w:t>
      </w:r>
    </w:p>
  </w:footnote>
  <w:footnote w:id="85">
    <w:p w14:paraId="654A81D4" w14:textId="4EEE7B91" w:rsidR="00651471" w:rsidRPr="00570EBF" w:rsidRDefault="00651471" w:rsidP="00651471">
      <w:pPr>
        <w:pStyle w:val="FootnoteText"/>
        <w:contextualSpacing/>
        <w:rPr>
          <w:rFonts w:ascii="Arial" w:hAnsi="Arial" w:cs="Arial"/>
          <w:sz w:val="18"/>
          <w:szCs w:val="18"/>
          <w:lang w:val="en-US"/>
        </w:rPr>
      </w:pPr>
      <w:r w:rsidRPr="00550A51">
        <w:rPr>
          <w:rStyle w:val="FootnoteReference"/>
          <w:rFonts w:ascii="Arial" w:hAnsi="Arial" w:cs="Arial"/>
          <w:sz w:val="18"/>
          <w:szCs w:val="18"/>
        </w:rPr>
        <w:footnoteRef/>
      </w:r>
      <w:r w:rsidRPr="00550A51">
        <w:rPr>
          <w:rFonts w:ascii="Arial" w:hAnsi="Arial" w:cs="Arial"/>
          <w:sz w:val="18"/>
          <w:szCs w:val="18"/>
        </w:rPr>
        <w:t xml:space="preserve"> </w:t>
      </w:r>
      <w:r w:rsidRPr="00550A51">
        <w:rPr>
          <w:rFonts w:ascii="Arial" w:hAnsi="Arial" w:cs="Arial"/>
          <w:i/>
          <w:sz w:val="18"/>
          <w:szCs w:val="18"/>
        </w:rPr>
        <w:t>Martinez Alvarado v the Netherlands</w:t>
      </w:r>
      <w:r w:rsidRPr="00550A51">
        <w:rPr>
          <w:rFonts w:ascii="Arial" w:hAnsi="Arial" w:cs="Arial"/>
          <w:sz w:val="18"/>
          <w:szCs w:val="18"/>
        </w:rPr>
        <w:t xml:space="preserve"> </w:t>
      </w:r>
      <w:r w:rsidR="00B26868" w:rsidRPr="00550A51">
        <w:rPr>
          <w:rFonts w:ascii="Arial" w:hAnsi="Arial" w:cs="Arial"/>
          <w:sz w:val="18"/>
          <w:szCs w:val="18"/>
        </w:rPr>
        <w:t>(n</w:t>
      </w:r>
      <w:r w:rsidR="00954C95" w:rsidRPr="00550A51">
        <w:rPr>
          <w:rFonts w:ascii="Arial" w:hAnsi="Arial" w:cs="Arial"/>
          <w:sz w:val="18"/>
          <w:szCs w:val="18"/>
        </w:rPr>
        <w:t xml:space="preserve"> 82</w:t>
      </w:r>
      <w:r w:rsidR="00B26868" w:rsidRPr="00550A51">
        <w:rPr>
          <w:rFonts w:ascii="Arial" w:hAnsi="Arial" w:cs="Arial"/>
          <w:sz w:val="18"/>
          <w:szCs w:val="18"/>
        </w:rPr>
        <w:t>).</w:t>
      </w:r>
    </w:p>
  </w:footnote>
  <w:footnote w:id="86">
    <w:p w14:paraId="76639D45" w14:textId="4E018444"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British Nationality Act 1981</w:t>
      </w:r>
      <w:r w:rsidR="00102F62" w:rsidRPr="00570EBF">
        <w:rPr>
          <w:rFonts w:ascii="Arial" w:hAnsi="Arial" w:cs="Arial"/>
          <w:sz w:val="18"/>
          <w:szCs w:val="18"/>
        </w:rPr>
        <w:t>.</w:t>
      </w:r>
    </w:p>
  </w:footnote>
  <w:footnote w:id="87">
    <w:p w14:paraId="22F6F490" w14:textId="77777777" w:rsidR="001B08BF" w:rsidRPr="00570EBF" w:rsidRDefault="001B08BF" w:rsidP="001B08BF">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Home Office guidance, ‘</w:t>
      </w:r>
      <w:hyperlink r:id="rId35" w:history="1">
        <w:r w:rsidRPr="00570EBF">
          <w:rPr>
            <w:rStyle w:val="Hyperlink"/>
            <w:rFonts w:ascii="Arial" w:hAnsi="Arial" w:cs="Arial"/>
            <w:sz w:val="18"/>
            <w:szCs w:val="18"/>
          </w:rPr>
          <w:t>Nationality: good character guidance</w:t>
        </w:r>
      </w:hyperlink>
      <w:r w:rsidRPr="00570EBF">
        <w:rPr>
          <w:rFonts w:ascii="Arial" w:hAnsi="Arial" w:cs="Arial"/>
          <w:sz w:val="18"/>
          <w:szCs w:val="18"/>
        </w:rPr>
        <w:t>’ (version 7, 30 April 2026).</w:t>
      </w:r>
    </w:p>
  </w:footnote>
  <w:footnote w:id="88">
    <w:p w14:paraId="0A72F610" w14:textId="3AF3C5E3" w:rsidR="00651471" w:rsidRPr="00570EBF" w:rsidRDefault="00651471" w:rsidP="00651471">
      <w:pPr>
        <w:pStyle w:val="FootnoteText"/>
        <w:contextualSpacing/>
        <w:rPr>
          <w:rFonts w:ascii="Arial" w:hAnsi="Arial" w:cs="Arial"/>
          <w:sz w:val="18"/>
          <w:szCs w:val="18"/>
          <w:highlight w:val="yellow"/>
        </w:rPr>
      </w:pPr>
      <w:r w:rsidRPr="00570EBF">
        <w:rPr>
          <w:rStyle w:val="FootnoteReference"/>
          <w:rFonts w:ascii="Arial" w:hAnsi="Arial" w:cs="Arial"/>
          <w:sz w:val="18"/>
          <w:szCs w:val="18"/>
        </w:rPr>
        <w:footnoteRef/>
      </w:r>
      <w:r w:rsidRPr="00570EBF">
        <w:rPr>
          <w:rFonts w:ascii="Arial" w:hAnsi="Arial" w:cs="Arial"/>
          <w:sz w:val="18"/>
          <w:szCs w:val="18"/>
        </w:rPr>
        <w:t xml:space="preserve"> Serious Crime Act 2007, Schedule 1.</w:t>
      </w:r>
    </w:p>
  </w:footnote>
  <w:footnote w:id="89">
    <w:p w14:paraId="7756794F" w14:textId="5240EA1D"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i/>
          <w:iCs/>
          <w:sz w:val="18"/>
          <w:szCs w:val="18"/>
        </w:rPr>
        <w:t>Unuane</w:t>
      </w:r>
      <w:proofErr w:type="spellEnd"/>
      <w:r w:rsidRPr="00570EBF">
        <w:rPr>
          <w:rFonts w:ascii="Arial" w:hAnsi="Arial" w:cs="Arial"/>
          <w:i/>
          <w:iCs/>
          <w:sz w:val="18"/>
          <w:szCs w:val="18"/>
        </w:rPr>
        <w:t xml:space="preserve"> v United Kingdom</w:t>
      </w:r>
      <w:r w:rsidRPr="00570EBF">
        <w:rPr>
          <w:rFonts w:ascii="Arial" w:hAnsi="Arial" w:cs="Arial"/>
          <w:sz w:val="18"/>
          <w:szCs w:val="18"/>
        </w:rPr>
        <w:t xml:space="preserve"> [80343/17]</w:t>
      </w:r>
      <w:r w:rsidR="00F0778D" w:rsidRPr="00570EBF">
        <w:rPr>
          <w:rFonts w:ascii="Arial" w:hAnsi="Arial" w:cs="Arial"/>
          <w:sz w:val="18"/>
          <w:szCs w:val="18"/>
        </w:rPr>
        <w:t xml:space="preserve"> (2020).</w:t>
      </w:r>
    </w:p>
  </w:footnote>
  <w:footnote w:id="90">
    <w:p w14:paraId="4B78C010" w14:textId="31E52603"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Borders, Citizenship and Immigration Act 2009</w:t>
      </w:r>
      <w:r w:rsidR="00F0778D" w:rsidRPr="00570EBF">
        <w:rPr>
          <w:rFonts w:ascii="Arial" w:hAnsi="Arial" w:cs="Arial"/>
          <w:sz w:val="18"/>
          <w:szCs w:val="18"/>
        </w:rPr>
        <w:t xml:space="preserve"> </w:t>
      </w:r>
      <w:r w:rsidRPr="00570EBF">
        <w:rPr>
          <w:rFonts w:ascii="Arial" w:hAnsi="Arial" w:cs="Arial"/>
          <w:sz w:val="18"/>
          <w:szCs w:val="18"/>
        </w:rPr>
        <w:t>s</w:t>
      </w:r>
      <w:r w:rsidR="00F0778D" w:rsidRPr="00570EBF">
        <w:rPr>
          <w:rFonts w:ascii="Arial" w:hAnsi="Arial" w:cs="Arial"/>
          <w:sz w:val="18"/>
          <w:szCs w:val="18"/>
        </w:rPr>
        <w:t>.</w:t>
      </w:r>
      <w:r w:rsidRPr="00570EBF">
        <w:rPr>
          <w:rFonts w:ascii="Arial" w:hAnsi="Arial" w:cs="Arial"/>
          <w:sz w:val="18"/>
          <w:szCs w:val="18"/>
        </w:rPr>
        <w:t xml:space="preserve">55. </w:t>
      </w:r>
    </w:p>
  </w:footnote>
  <w:footnote w:id="91">
    <w:p w14:paraId="726D0318" w14:textId="77777777"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i/>
          <w:iCs/>
          <w:sz w:val="18"/>
          <w:szCs w:val="18"/>
        </w:rPr>
        <w:t>R (DM) v Secretary of State for the Home Department and UNHCR</w:t>
      </w:r>
      <w:r w:rsidRPr="00570EBF">
        <w:rPr>
          <w:rFonts w:ascii="Arial" w:hAnsi="Arial" w:cs="Arial"/>
          <w:sz w:val="18"/>
          <w:szCs w:val="18"/>
        </w:rPr>
        <w:t xml:space="preserve"> [2025] EWCA </w:t>
      </w:r>
      <w:proofErr w:type="spellStart"/>
      <w:r w:rsidRPr="00570EBF">
        <w:rPr>
          <w:rFonts w:ascii="Arial" w:hAnsi="Arial" w:cs="Arial"/>
          <w:sz w:val="18"/>
          <w:szCs w:val="18"/>
        </w:rPr>
        <w:t>Civ</w:t>
      </w:r>
      <w:proofErr w:type="spellEnd"/>
      <w:r w:rsidRPr="00570EBF">
        <w:rPr>
          <w:rFonts w:ascii="Arial" w:hAnsi="Arial" w:cs="Arial"/>
          <w:sz w:val="18"/>
          <w:szCs w:val="18"/>
        </w:rPr>
        <w:t xml:space="preserve"> 1273.</w:t>
      </w:r>
    </w:p>
  </w:footnote>
  <w:footnote w:id="92">
    <w:p w14:paraId="776798F6" w14:textId="67451987" w:rsidR="00651471" w:rsidRPr="00570EBF" w:rsidRDefault="00651471" w:rsidP="00651471">
      <w:pPr>
        <w:pStyle w:val="FootnoteText"/>
        <w:contextualSpacing/>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Nationality, Immigration and Asylum Act 2002, Part 4 s72.</w:t>
      </w:r>
    </w:p>
  </w:footnote>
  <w:footnote w:id="93">
    <w:p w14:paraId="61CB23B8" w14:textId="01CAB190"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6E5D1B" w:rsidRPr="00570EBF">
        <w:rPr>
          <w:rFonts w:ascii="Arial" w:hAnsi="Arial" w:cs="Arial"/>
          <w:sz w:val="18"/>
          <w:szCs w:val="18"/>
        </w:rPr>
        <w:t xml:space="preserve">(n </w:t>
      </w:r>
      <w:r w:rsidR="006E5D1B" w:rsidRPr="00570EBF">
        <w:rPr>
          <w:rFonts w:ascii="Arial" w:hAnsi="Arial" w:cs="Arial"/>
          <w:sz w:val="18"/>
          <w:szCs w:val="18"/>
        </w:rPr>
        <w:fldChar w:fldCharType="begin"/>
      </w:r>
      <w:r w:rsidR="006E5D1B"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6E5D1B" w:rsidRPr="00570EBF">
        <w:rPr>
          <w:rFonts w:ascii="Arial" w:hAnsi="Arial" w:cs="Arial"/>
          <w:sz w:val="18"/>
          <w:szCs w:val="18"/>
        </w:rPr>
      </w:r>
      <w:r w:rsidR="006E5D1B" w:rsidRPr="00570EBF">
        <w:rPr>
          <w:rFonts w:ascii="Arial" w:hAnsi="Arial" w:cs="Arial"/>
          <w:sz w:val="18"/>
          <w:szCs w:val="18"/>
        </w:rPr>
        <w:fldChar w:fldCharType="separate"/>
      </w:r>
      <w:r w:rsidR="006E5D1B" w:rsidRPr="00570EBF">
        <w:rPr>
          <w:rFonts w:ascii="Arial" w:hAnsi="Arial" w:cs="Arial"/>
          <w:sz w:val="18"/>
          <w:szCs w:val="18"/>
        </w:rPr>
        <w:t>1</w:t>
      </w:r>
      <w:r w:rsidR="006E5D1B" w:rsidRPr="00570EBF">
        <w:rPr>
          <w:rFonts w:ascii="Arial" w:hAnsi="Arial" w:cs="Arial"/>
          <w:sz w:val="18"/>
          <w:szCs w:val="18"/>
        </w:rPr>
        <w:fldChar w:fldCharType="end"/>
      </w:r>
      <w:r w:rsidR="006E5D1B" w:rsidRPr="00570EBF">
        <w:rPr>
          <w:rFonts w:ascii="Arial" w:hAnsi="Arial" w:cs="Arial"/>
          <w:sz w:val="18"/>
          <w:szCs w:val="18"/>
        </w:rPr>
        <w:t>)</w:t>
      </w:r>
      <w:r w:rsidRPr="00570EBF">
        <w:rPr>
          <w:rFonts w:ascii="Arial" w:hAnsi="Arial" w:cs="Arial"/>
          <w:sz w:val="18"/>
          <w:szCs w:val="18"/>
        </w:rPr>
        <w:t xml:space="preserve"> Cl 21 and 22.</w:t>
      </w:r>
    </w:p>
  </w:footnote>
  <w:footnote w:id="94">
    <w:p w14:paraId="492644A7" w14:textId="033F73F4"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Pr="00570EBF">
        <w:rPr>
          <w:rFonts w:ascii="Arial" w:hAnsi="Arial" w:cs="Arial"/>
          <w:sz w:val="18"/>
          <w:szCs w:val="18"/>
          <w:lang w:val="en-US"/>
        </w:rPr>
        <w:t>Ibid Cl 21(2b).</w:t>
      </w:r>
    </w:p>
  </w:footnote>
  <w:footnote w:id="95">
    <w:p w14:paraId="5C248957"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Convention relating to the Status of Refugees (April 1951).</w:t>
      </w:r>
    </w:p>
  </w:footnote>
  <w:footnote w:id="96">
    <w:p w14:paraId="00B5C42C" w14:textId="580A977C"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Explanatory Notes</w:t>
      </w:r>
      <w:r w:rsidR="006E5D1B" w:rsidRPr="00570EBF">
        <w:rPr>
          <w:rFonts w:ascii="Arial" w:hAnsi="Arial" w:cs="Arial"/>
          <w:sz w:val="18"/>
          <w:szCs w:val="18"/>
        </w:rPr>
        <w:t xml:space="preserve"> (n </w:t>
      </w:r>
      <w:r w:rsidR="006E5D1B" w:rsidRPr="00570EBF">
        <w:rPr>
          <w:rFonts w:ascii="Arial" w:hAnsi="Arial" w:cs="Arial"/>
          <w:sz w:val="18"/>
          <w:szCs w:val="18"/>
        </w:rPr>
        <w:fldChar w:fldCharType="begin"/>
      </w:r>
      <w:r w:rsidR="006E5D1B" w:rsidRPr="00570EBF">
        <w:rPr>
          <w:rFonts w:ascii="Arial" w:hAnsi="Arial" w:cs="Arial"/>
          <w:sz w:val="18"/>
          <w:szCs w:val="18"/>
        </w:rPr>
        <w:instrText xml:space="preserve"> NOTEREF _Ref234484475 \h </w:instrText>
      </w:r>
      <w:r w:rsidR="00624A32" w:rsidRPr="00570EBF">
        <w:rPr>
          <w:rFonts w:ascii="Arial" w:hAnsi="Arial" w:cs="Arial"/>
          <w:sz w:val="18"/>
          <w:szCs w:val="18"/>
        </w:rPr>
        <w:instrText xml:space="preserve"> \* MERGEFORMAT </w:instrText>
      </w:r>
      <w:r w:rsidR="006E5D1B" w:rsidRPr="00570EBF">
        <w:rPr>
          <w:rFonts w:ascii="Arial" w:hAnsi="Arial" w:cs="Arial"/>
          <w:sz w:val="18"/>
          <w:szCs w:val="18"/>
        </w:rPr>
      </w:r>
      <w:r w:rsidR="006E5D1B" w:rsidRPr="00570EBF">
        <w:rPr>
          <w:rFonts w:ascii="Arial" w:hAnsi="Arial" w:cs="Arial"/>
          <w:sz w:val="18"/>
          <w:szCs w:val="18"/>
        </w:rPr>
        <w:fldChar w:fldCharType="separate"/>
      </w:r>
      <w:r w:rsidR="006E5D1B" w:rsidRPr="00570EBF">
        <w:rPr>
          <w:rFonts w:ascii="Arial" w:hAnsi="Arial" w:cs="Arial"/>
          <w:sz w:val="18"/>
          <w:szCs w:val="18"/>
        </w:rPr>
        <w:t>25</w:t>
      </w:r>
      <w:r w:rsidR="006E5D1B" w:rsidRPr="00570EBF">
        <w:rPr>
          <w:rFonts w:ascii="Arial" w:hAnsi="Arial" w:cs="Arial"/>
          <w:sz w:val="18"/>
          <w:szCs w:val="18"/>
        </w:rPr>
        <w:fldChar w:fldCharType="end"/>
      </w:r>
      <w:r w:rsidR="006E5D1B" w:rsidRPr="00570EBF">
        <w:rPr>
          <w:rFonts w:ascii="Arial" w:hAnsi="Arial" w:cs="Arial"/>
          <w:sz w:val="18"/>
          <w:szCs w:val="18"/>
        </w:rPr>
        <w:t>)</w:t>
      </w:r>
      <w:r w:rsidRPr="00570EBF">
        <w:rPr>
          <w:rFonts w:ascii="Arial" w:hAnsi="Arial" w:cs="Arial"/>
          <w:sz w:val="18"/>
          <w:szCs w:val="18"/>
        </w:rPr>
        <w:t xml:space="preserve"> para 42.</w:t>
      </w:r>
    </w:p>
  </w:footnote>
  <w:footnote w:id="97">
    <w:p w14:paraId="58337F3C" w14:textId="2962566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6E5D1B" w:rsidRPr="00570EBF">
        <w:rPr>
          <w:rFonts w:ascii="Arial" w:hAnsi="Arial" w:cs="Arial"/>
          <w:sz w:val="18"/>
          <w:szCs w:val="18"/>
        </w:rPr>
        <w:t xml:space="preserve">(n </w:t>
      </w:r>
      <w:r w:rsidR="006E5D1B" w:rsidRPr="00570EBF">
        <w:rPr>
          <w:rFonts w:ascii="Arial" w:hAnsi="Arial" w:cs="Arial"/>
          <w:sz w:val="18"/>
          <w:szCs w:val="18"/>
        </w:rPr>
        <w:fldChar w:fldCharType="begin"/>
      </w:r>
      <w:r w:rsidR="006E5D1B"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6E5D1B" w:rsidRPr="00570EBF">
        <w:rPr>
          <w:rFonts w:ascii="Arial" w:hAnsi="Arial" w:cs="Arial"/>
          <w:sz w:val="18"/>
          <w:szCs w:val="18"/>
        </w:rPr>
      </w:r>
      <w:r w:rsidR="006E5D1B" w:rsidRPr="00570EBF">
        <w:rPr>
          <w:rFonts w:ascii="Arial" w:hAnsi="Arial" w:cs="Arial"/>
          <w:sz w:val="18"/>
          <w:szCs w:val="18"/>
        </w:rPr>
        <w:fldChar w:fldCharType="separate"/>
      </w:r>
      <w:r w:rsidR="006E5D1B" w:rsidRPr="00570EBF">
        <w:rPr>
          <w:rFonts w:ascii="Arial" w:hAnsi="Arial" w:cs="Arial"/>
          <w:sz w:val="18"/>
          <w:szCs w:val="18"/>
        </w:rPr>
        <w:t>1</w:t>
      </w:r>
      <w:r w:rsidR="006E5D1B" w:rsidRPr="00570EBF">
        <w:rPr>
          <w:rFonts w:ascii="Arial" w:hAnsi="Arial" w:cs="Arial"/>
          <w:sz w:val="18"/>
          <w:szCs w:val="18"/>
        </w:rPr>
        <w:fldChar w:fldCharType="end"/>
      </w:r>
      <w:r w:rsidR="006E5D1B" w:rsidRPr="00570EBF">
        <w:rPr>
          <w:rFonts w:ascii="Arial" w:hAnsi="Arial" w:cs="Arial"/>
          <w:sz w:val="18"/>
          <w:szCs w:val="18"/>
        </w:rPr>
        <w:t xml:space="preserve">) </w:t>
      </w:r>
      <w:r w:rsidRPr="00570EBF">
        <w:rPr>
          <w:rFonts w:ascii="Arial" w:hAnsi="Arial" w:cs="Arial"/>
          <w:sz w:val="18"/>
          <w:szCs w:val="18"/>
        </w:rPr>
        <w:t>Cl 22.</w:t>
      </w:r>
    </w:p>
  </w:footnote>
  <w:footnote w:id="98">
    <w:p w14:paraId="4AA503EE" w14:textId="43E171CD" w:rsidR="00651471" w:rsidRPr="00570EBF" w:rsidRDefault="00651471" w:rsidP="00651471">
      <w:pPr>
        <w:pStyle w:val="FootnoteText"/>
        <w:rPr>
          <w:rFonts w:ascii="Arial" w:hAnsi="Arial" w:cs="Arial"/>
          <w:sz w:val="18"/>
          <w:szCs w:val="18"/>
          <w:lang w:val="fr-FR"/>
        </w:rPr>
      </w:pPr>
      <w:r w:rsidRPr="00570EBF">
        <w:rPr>
          <w:rStyle w:val="FootnoteReference"/>
          <w:rFonts w:ascii="Arial" w:hAnsi="Arial" w:cs="Arial"/>
          <w:sz w:val="18"/>
          <w:szCs w:val="18"/>
        </w:rPr>
        <w:footnoteRef/>
      </w:r>
      <w:r w:rsidRPr="00570EBF">
        <w:rPr>
          <w:rFonts w:ascii="Arial" w:hAnsi="Arial" w:cs="Arial"/>
          <w:sz w:val="18"/>
          <w:szCs w:val="18"/>
          <w:lang w:val="fr-FR"/>
        </w:rPr>
        <w:t xml:space="preserve"> </w:t>
      </w:r>
      <w:proofErr w:type="spellStart"/>
      <w:r w:rsidRPr="00570EBF">
        <w:rPr>
          <w:rFonts w:ascii="Arial" w:hAnsi="Arial" w:cs="Arial"/>
          <w:sz w:val="18"/>
          <w:szCs w:val="18"/>
          <w:lang w:val="fr-FR"/>
        </w:rPr>
        <w:t>Refugee</w:t>
      </w:r>
      <w:proofErr w:type="spellEnd"/>
      <w:r w:rsidRPr="00570EBF">
        <w:rPr>
          <w:rFonts w:ascii="Arial" w:hAnsi="Arial" w:cs="Arial"/>
          <w:sz w:val="18"/>
          <w:szCs w:val="18"/>
          <w:lang w:val="fr-FR"/>
        </w:rPr>
        <w:t xml:space="preserve"> Convention (n </w:t>
      </w:r>
      <w:r w:rsidRPr="00570EBF">
        <w:rPr>
          <w:rFonts w:ascii="Arial" w:hAnsi="Arial" w:cs="Arial"/>
          <w:sz w:val="18"/>
          <w:szCs w:val="18"/>
        </w:rPr>
        <w:fldChar w:fldCharType="begin"/>
      </w:r>
      <w:r w:rsidRPr="00570EBF">
        <w:rPr>
          <w:rFonts w:ascii="Arial" w:hAnsi="Arial" w:cs="Arial"/>
          <w:sz w:val="18"/>
          <w:szCs w:val="18"/>
          <w:lang w:val="fr-FR"/>
        </w:rPr>
        <w:instrText xml:space="preserve"> NOTEREF _Ref234397354 \h </w:instrText>
      </w:r>
      <w:r w:rsidR="00F33CDC" w:rsidRPr="00570EBF">
        <w:rPr>
          <w:rFonts w:ascii="Arial" w:hAnsi="Arial" w:cs="Arial"/>
          <w:sz w:val="18"/>
          <w:szCs w:val="18"/>
          <w:lang w:val="fr-FR"/>
        </w:rPr>
        <w:instrText xml:space="preserve"> \* MERGEFORMAT </w:instrText>
      </w:r>
      <w:r w:rsidRPr="00570EBF">
        <w:rPr>
          <w:rFonts w:ascii="Arial" w:hAnsi="Arial" w:cs="Arial"/>
          <w:sz w:val="18"/>
          <w:szCs w:val="18"/>
        </w:rPr>
      </w:r>
      <w:r w:rsidRPr="00570EBF">
        <w:rPr>
          <w:rFonts w:ascii="Arial" w:hAnsi="Arial" w:cs="Arial"/>
          <w:sz w:val="18"/>
          <w:szCs w:val="18"/>
        </w:rPr>
        <w:fldChar w:fldCharType="separate"/>
      </w:r>
      <w:r w:rsidR="00E437D7" w:rsidRPr="00570EBF">
        <w:rPr>
          <w:rFonts w:ascii="Arial" w:hAnsi="Arial" w:cs="Arial"/>
          <w:sz w:val="18"/>
          <w:szCs w:val="18"/>
          <w:lang w:val="fr-FR"/>
        </w:rPr>
        <w:t>90</w:t>
      </w:r>
      <w:r w:rsidRPr="00570EBF">
        <w:rPr>
          <w:rFonts w:ascii="Arial" w:hAnsi="Arial" w:cs="Arial"/>
          <w:sz w:val="18"/>
          <w:szCs w:val="18"/>
        </w:rPr>
        <w:fldChar w:fldCharType="end"/>
      </w:r>
      <w:r w:rsidRPr="00570EBF">
        <w:rPr>
          <w:rFonts w:ascii="Arial" w:hAnsi="Arial" w:cs="Arial"/>
          <w:sz w:val="18"/>
          <w:szCs w:val="18"/>
          <w:lang w:val="fr-FR"/>
        </w:rPr>
        <w:t>), Article 33(2).</w:t>
      </w:r>
    </w:p>
  </w:footnote>
  <w:footnote w:id="99">
    <w:p w14:paraId="37948C51" w14:textId="77777777" w:rsidR="00651471" w:rsidRPr="00570EBF" w:rsidRDefault="00651471" w:rsidP="00651471">
      <w:pPr>
        <w:pStyle w:val="FootnoteText"/>
        <w:rPr>
          <w:rFonts w:ascii="Arial" w:hAnsi="Arial" w:cs="Arial"/>
          <w:sz w:val="18"/>
          <w:szCs w:val="18"/>
          <w:lang w:val="fr-FR"/>
        </w:rPr>
      </w:pPr>
      <w:r w:rsidRPr="00570EBF">
        <w:rPr>
          <w:rStyle w:val="FootnoteReference"/>
          <w:rFonts w:ascii="Arial" w:hAnsi="Arial" w:cs="Arial"/>
          <w:sz w:val="18"/>
          <w:szCs w:val="18"/>
        </w:rPr>
        <w:footnoteRef/>
      </w:r>
      <w:r w:rsidRPr="00570EBF">
        <w:rPr>
          <w:rFonts w:ascii="Arial" w:hAnsi="Arial" w:cs="Arial"/>
          <w:sz w:val="18"/>
          <w:szCs w:val="18"/>
          <w:lang w:val="fr-FR"/>
        </w:rPr>
        <w:t xml:space="preserve"> Ibid.</w:t>
      </w:r>
    </w:p>
  </w:footnote>
  <w:footnote w:id="100">
    <w:p w14:paraId="58D7C482" w14:textId="77777777"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Ibid Articles 17, 21, 23, 24, 28.</w:t>
      </w:r>
    </w:p>
  </w:footnote>
  <w:footnote w:id="101">
    <w:p w14:paraId="689A9B32"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 Articles 31 and 33.</w:t>
      </w:r>
    </w:p>
  </w:footnote>
  <w:footnote w:id="102">
    <w:p w14:paraId="0E40C38E" w14:textId="3C997C8B"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Human Rights Memorandum</w:t>
      </w:r>
      <w:r w:rsidR="005F040D" w:rsidRPr="00570EBF">
        <w:rPr>
          <w:rFonts w:ascii="Arial" w:hAnsi="Arial" w:cs="Arial"/>
          <w:sz w:val="18"/>
          <w:szCs w:val="18"/>
        </w:rPr>
        <w:t xml:space="preserve"> (n </w:t>
      </w:r>
      <w:r w:rsidR="005F040D" w:rsidRPr="00570EBF">
        <w:rPr>
          <w:rFonts w:ascii="Arial" w:hAnsi="Arial" w:cs="Arial"/>
          <w:sz w:val="18"/>
          <w:szCs w:val="18"/>
        </w:rPr>
        <w:fldChar w:fldCharType="begin"/>
      </w:r>
      <w:r w:rsidR="005F040D" w:rsidRPr="00570EBF">
        <w:rPr>
          <w:rFonts w:ascii="Arial" w:hAnsi="Arial" w:cs="Arial"/>
          <w:sz w:val="18"/>
          <w:szCs w:val="18"/>
        </w:rPr>
        <w:instrText xml:space="preserve"> NOTEREF _Ref234485657 \h </w:instrText>
      </w:r>
      <w:r w:rsidR="00624A32" w:rsidRPr="00570EBF">
        <w:rPr>
          <w:rFonts w:ascii="Arial" w:hAnsi="Arial" w:cs="Arial"/>
          <w:sz w:val="18"/>
          <w:szCs w:val="18"/>
        </w:rPr>
        <w:instrText xml:space="preserve"> \* MERGEFORMAT </w:instrText>
      </w:r>
      <w:r w:rsidR="005F040D" w:rsidRPr="00570EBF">
        <w:rPr>
          <w:rFonts w:ascii="Arial" w:hAnsi="Arial" w:cs="Arial"/>
          <w:sz w:val="18"/>
          <w:szCs w:val="18"/>
        </w:rPr>
      </w:r>
      <w:r w:rsidR="005F040D" w:rsidRPr="00570EBF">
        <w:rPr>
          <w:rFonts w:ascii="Arial" w:hAnsi="Arial" w:cs="Arial"/>
          <w:sz w:val="18"/>
          <w:szCs w:val="18"/>
        </w:rPr>
        <w:fldChar w:fldCharType="separate"/>
      </w:r>
      <w:r w:rsidR="00E437D7" w:rsidRPr="00570EBF">
        <w:rPr>
          <w:rFonts w:ascii="Arial" w:hAnsi="Arial" w:cs="Arial"/>
          <w:sz w:val="18"/>
          <w:szCs w:val="18"/>
        </w:rPr>
        <w:t>75</w:t>
      </w:r>
      <w:r w:rsidR="005F040D" w:rsidRPr="00570EBF">
        <w:rPr>
          <w:rFonts w:ascii="Arial" w:hAnsi="Arial" w:cs="Arial"/>
          <w:sz w:val="18"/>
          <w:szCs w:val="18"/>
        </w:rPr>
        <w:fldChar w:fldCharType="end"/>
      </w:r>
      <w:r w:rsidR="00BB5445" w:rsidRPr="00570EBF">
        <w:rPr>
          <w:rFonts w:ascii="Arial" w:hAnsi="Arial" w:cs="Arial"/>
          <w:sz w:val="18"/>
          <w:szCs w:val="18"/>
        </w:rPr>
        <w:t>)</w:t>
      </w:r>
      <w:r w:rsidRPr="00570EBF">
        <w:rPr>
          <w:rFonts w:ascii="Arial" w:hAnsi="Arial" w:cs="Arial"/>
          <w:sz w:val="18"/>
          <w:szCs w:val="18"/>
        </w:rPr>
        <w:t xml:space="preserve"> para 4.</w:t>
      </w:r>
    </w:p>
  </w:footnote>
  <w:footnote w:id="103">
    <w:p w14:paraId="659AD1C3"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European Convention on Human Rights (1950), Articles 8, 14, Protocol 1 Article 1.</w:t>
      </w:r>
    </w:p>
  </w:footnote>
  <w:footnote w:id="104">
    <w:p w14:paraId="22EE78E2" w14:textId="674BB324"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BB5445" w:rsidRPr="00570EBF">
        <w:rPr>
          <w:rFonts w:ascii="Arial" w:hAnsi="Arial" w:cs="Arial"/>
          <w:sz w:val="18"/>
          <w:szCs w:val="18"/>
        </w:rPr>
        <w:t xml:space="preserve">(n </w:t>
      </w:r>
      <w:r w:rsidR="00DA4AAA" w:rsidRPr="00570EBF">
        <w:rPr>
          <w:rFonts w:ascii="Arial" w:hAnsi="Arial" w:cs="Arial"/>
          <w:sz w:val="18"/>
          <w:szCs w:val="18"/>
        </w:rPr>
        <w:fldChar w:fldCharType="begin"/>
      </w:r>
      <w:r w:rsidR="00DA4AAA"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DA4AAA" w:rsidRPr="00570EBF">
        <w:rPr>
          <w:rFonts w:ascii="Arial" w:hAnsi="Arial" w:cs="Arial"/>
          <w:sz w:val="18"/>
          <w:szCs w:val="18"/>
        </w:rPr>
      </w:r>
      <w:r w:rsidR="00DA4AAA" w:rsidRPr="00570EBF">
        <w:rPr>
          <w:rFonts w:ascii="Arial" w:hAnsi="Arial" w:cs="Arial"/>
          <w:sz w:val="18"/>
          <w:szCs w:val="18"/>
        </w:rPr>
        <w:fldChar w:fldCharType="separate"/>
      </w:r>
      <w:r w:rsidR="00DA4AAA" w:rsidRPr="00570EBF">
        <w:rPr>
          <w:rFonts w:ascii="Arial" w:hAnsi="Arial" w:cs="Arial"/>
          <w:sz w:val="18"/>
          <w:szCs w:val="18"/>
        </w:rPr>
        <w:t>1</w:t>
      </w:r>
      <w:r w:rsidR="00DA4AAA" w:rsidRPr="00570EBF">
        <w:rPr>
          <w:rFonts w:ascii="Arial" w:hAnsi="Arial" w:cs="Arial"/>
          <w:sz w:val="18"/>
          <w:szCs w:val="18"/>
        </w:rPr>
        <w:fldChar w:fldCharType="end"/>
      </w:r>
      <w:r w:rsidR="00BB5445" w:rsidRPr="00570EBF">
        <w:rPr>
          <w:rFonts w:ascii="Arial" w:hAnsi="Arial" w:cs="Arial"/>
          <w:sz w:val="18"/>
          <w:szCs w:val="18"/>
        </w:rPr>
        <w:t>)</w:t>
      </w:r>
      <w:r w:rsidRPr="00570EBF">
        <w:rPr>
          <w:rFonts w:ascii="Arial" w:hAnsi="Arial" w:cs="Arial"/>
          <w:sz w:val="18"/>
          <w:szCs w:val="18"/>
        </w:rPr>
        <w:t xml:space="preserve"> </w:t>
      </w:r>
      <w:proofErr w:type="spellStart"/>
      <w:r w:rsidRPr="00570EBF">
        <w:rPr>
          <w:rFonts w:ascii="Arial" w:hAnsi="Arial" w:cs="Arial"/>
          <w:sz w:val="18"/>
          <w:szCs w:val="18"/>
        </w:rPr>
        <w:t>Cls</w:t>
      </w:r>
      <w:proofErr w:type="spellEnd"/>
      <w:r w:rsidRPr="00570EBF">
        <w:rPr>
          <w:rFonts w:ascii="Arial" w:hAnsi="Arial" w:cs="Arial"/>
          <w:sz w:val="18"/>
          <w:szCs w:val="18"/>
        </w:rPr>
        <w:t xml:space="preserve"> 23-24.</w:t>
      </w:r>
    </w:p>
  </w:footnote>
  <w:footnote w:id="105">
    <w:p w14:paraId="00ADB956" w14:textId="2DBFE880"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Act 1999 s.95(3).</w:t>
      </w:r>
    </w:p>
  </w:footnote>
  <w:footnote w:id="106">
    <w:p w14:paraId="657B9FDD" w14:textId="16B53F44" w:rsidR="00337922" w:rsidRPr="00570EBF" w:rsidRDefault="00337922" w:rsidP="00337922">
      <w:pPr>
        <w:pStyle w:val="FootnoteText"/>
        <w:rPr>
          <w:rFonts w:ascii="Arial" w:hAnsi="Arial" w:cs="Arial"/>
          <w:sz w:val="18"/>
          <w:szCs w:val="18"/>
        </w:rPr>
      </w:pPr>
      <w:r w:rsidRPr="00570EBF">
        <w:rPr>
          <w:rStyle w:val="FootnoteReference"/>
          <w:rFonts w:ascii="Arial" w:hAnsi="Arial" w:cs="Arial"/>
          <w:sz w:val="18"/>
          <w:szCs w:val="18"/>
        </w:rPr>
        <w:footnoteRef/>
      </w:r>
      <w:r w:rsidR="00F0778D" w:rsidRPr="00570EBF">
        <w:rPr>
          <w:rFonts w:ascii="Arial" w:hAnsi="Arial" w:cs="Arial"/>
          <w:sz w:val="18"/>
          <w:szCs w:val="18"/>
        </w:rPr>
        <w:t xml:space="preserve"> Home Office guidance,</w:t>
      </w:r>
      <w:r w:rsidRPr="00570EBF">
        <w:rPr>
          <w:rFonts w:ascii="Arial" w:hAnsi="Arial" w:cs="Arial"/>
          <w:sz w:val="18"/>
          <w:szCs w:val="18"/>
        </w:rPr>
        <w:t xml:space="preserve"> </w:t>
      </w:r>
      <w:r w:rsidR="00F0778D" w:rsidRPr="00570EBF">
        <w:rPr>
          <w:rFonts w:ascii="Arial" w:hAnsi="Arial" w:cs="Arial"/>
          <w:sz w:val="18"/>
          <w:szCs w:val="18"/>
        </w:rPr>
        <w:t>‘</w:t>
      </w:r>
      <w:hyperlink r:id="rId36" w:history="1">
        <w:r w:rsidR="002D0C9C" w:rsidRPr="00570EBF">
          <w:rPr>
            <w:rStyle w:val="Hyperlink"/>
            <w:rFonts w:ascii="Arial" w:hAnsi="Arial" w:cs="Arial"/>
            <w:sz w:val="18"/>
            <w:szCs w:val="18"/>
          </w:rPr>
          <w:t>Asylum</w:t>
        </w:r>
        <w:bookmarkStart w:id="14" w:name="_Hlt234486818"/>
        <w:bookmarkStart w:id="15" w:name="_Hlt234486819"/>
        <w:r w:rsidR="002D0C9C" w:rsidRPr="00570EBF">
          <w:rPr>
            <w:rStyle w:val="Hyperlink"/>
            <w:rFonts w:ascii="Arial" w:hAnsi="Arial" w:cs="Arial"/>
            <w:sz w:val="18"/>
            <w:szCs w:val="18"/>
          </w:rPr>
          <w:t xml:space="preserve"> </w:t>
        </w:r>
        <w:bookmarkEnd w:id="14"/>
        <w:bookmarkEnd w:id="15"/>
        <w:r w:rsidR="002D0C9C" w:rsidRPr="00570EBF">
          <w:rPr>
            <w:rStyle w:val="Hyperlink"/>
            <w:rFonts w:ascii="Arial" w:hAnsi="Arial" w:cs="Arial"/>
            <w:sz w:val="18"/>
            <w:szCs w:val="18"/>
          </w:rPr>
          <w:t>support eligibility criteria</w:t>
        </w:r>
      </w:hyperlink>
      <w:r w:rsidR="00F0778D" w:rsidRPr="00570EBF">
        <w:rPr>
          <w:rFonts w:ascii="Arial" w:hAnsi="Arial" w:cs="Arial"/>
          <w:sz w:val="18"/>
          <w:szCs w:val="18"/>
        </w:rPr>
        <w:t>’</w:t>
      </w:r>
      <w:r w:rsidR="004C7838" w:rsidRPr="00570EBF">
        <w:rPr>
          <w:rFonts w:ascii="Arial" w:hAnsi="Arial" w:cs="Arial"/>
          <w:sz w:val="18"/>
          <w:szCs w:val="18"/>
        </w:rPr>
        <w:t>.</w:t>
      </w:r>
    </w:p>
  </w:footnote>
  <w:footnote w:id="107">
    <w:p w14:paraId="18949A97" w14:textId="4ABE78C2" w:rsidR="00337922" w:rsidRPr="00570EBF" w:rsidRDefault="00337922" w:rsidP="00337922">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2D0C9C" w:rsidRPr="00570EBF">
        <w:rPr>
          <w:rFonts w:ascii="Arial" w:hAnsi="Arial" w:cs="Arial"/>
          <w:sz w:val="18"/>
          <w:szCs w:val="18"/>
        </w:rPr>
        <w:t>Ibid.</w:t>
      </w:r>
    </w:p>
  </w:footnote>
  <w:footnote w:id="108">
    <w:p w14:paraId="261B5289" w14:textId="1BF187A6"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Asylum Matters, ‘</w:t>
      </w:r>
      <w:hyperlink r:id="rId37" w:history="1">
        <w:r w:rsidRPr="00570EBF">
          <w:rPr>
            <w:rStyle w:val="Hyperlink"/>
            <w:rFonts w:ascii="Arial" w:hAnsi="Arial" w:cs="Arial"/>
            <w:sz w:val="18"/>
            <w:szCs w:val="18"/>
          </w:rPr>
          <w:t>Surviving in poverty: A report documenting life on asylum support</w:t>
        </w:r>
      </w:hyperlink>
      <w:r w:rsidRPr="00570EBF">
        <w:rPr>
          <w:rFonts w:ascii="Arial" w:hAnsi="Arial" w:cs="Arial"/>
          <w:sz w:val="18"/>
          <w:szCs w:val="18"/>
        </w:rPr>
        <w:t>’ (December 2023); The British Red Cross and UNHCR, ‘</w:t>
      </w:r>
      <w:hyperlink r:id="rId38" w:history="1">
        <w:r w:rsidRPr="00570EBF">
          <w:rPr>
            <w:rStyle w:val="Hyperlink"/>
            <w:rFonts w:ascii="Arial" w:hAnsi="Arial" w:cs="Arial"/>
            <w:sz w:val="18"/>
            <w:szCs w:val="18"/>
          </w:rPr>
          <w:t>At risk: exploitation and the UK asylum system</w:t>
        </w:r>
      </w:hyperlink>
      <w:r w:rsidRPr="00570EBF">
        <w:rPr>
          <w:rFonts w:ascii="Arial" w:hAnsi="Arial" w:cs="Arial"/>
          <w:sz w:val="18"/>
          <w:szCs w:val="18"/>
        </w:rPr>
        <w:t>’ (August 2022) 36; Ali Ahmadi, Fiona Costello, and Catherine Barnard, ‘</w:t>
      </w:r>
      <w:hyperlink r:id="rId39" w:history="1">
        <w:r w:rsidRPr="00570EBF">
          <w:rPr>
            <w:rStyle w:val="Hyperlink"/>
            <w:rFonts w:ascii="Arial" w:hAnsi="Arial" w:cs="Arial"/>
            <w:sz w:val="18"/>
            <w:szCs w:val="18"/>
          </w:rPr>
          <w:t>Does the ban on asylum seekers working actually work?</w:t>
        </w:r>
      </w:hyperlink>
      <w:r w:rsidRPr="00570EBF">
        <w:rPr>
          <w:rFonts w:ascii="Arial" w:hAnsi="Arial" w:cs="Arial"/>
          <w:sz w:val="18"/>
          <w:szCs w:val="18"/>
        </w:rPr>
        <w:t>’ (UK in a Changing Europe, 9 April 2026)</w:t>
      </w:r>
      <w:r w:rsidR="004C7838" w:rsidRPr="00570EBF">
        <w:rPr>
          <w:rFonts w:ascii="Arial" w:hAnsi="Arial" w:cs="Arial"/>
          <w:sz w:val="18"/>
          <w:szCs w:val="18"/>
        </w:rPr>
        <w:t>.</w:t>
      </w:r>
    </w:p>
  </w:footnote>
  <w:footnote w:id="109">
    <w:p w14:paraId="01C2C072" w14:textId="7C23F093"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guidance, ‘</w:t>
      </w:r>
      <w:hyperlink r:id="rId40" w:history="1">
        <w:r w:rsidRPr="00570EBF">
          <w:rPr>
            <w:rStyle w:val="Hyperlink"/>
            <w:rFonts w:ascii="Arial" w:hAnsi="Arial" w:cs="Arial"/>
            <w:sz w:val="18"/>
            <w:szCs w:val="18"/>
          </w:rPr>
          <w:t>Working or volunteering in the UK while an asylum case is considered</w:t>
        </w:r>
      </w:hyperlink>
      <w:r w:rsidRPr="00570EBF">
        <w:rPr>
          <w:rFonts w:ascii="Arial" w:hAnsi="Arial" w:cs="Arial"/>
          <w:sz w:val="18"/>
          <w:szCs w:val="18"/>
        </w:rPr>
        <w:t>’ (last updated 26 March 2026).</w:t>
      </w:r>
    </w:p>
  </w:footnote>
  <w:footnote w:id="110">
    <w:p w14:paraId="6C46C058" w14:textId="0B072161" w:rsidR="00651471" w:rsidRPr="00570EBF" w:rsidRDefault="00651471" w:rsidP="00651471">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Ibid; Home Office Guidance, ‘</w:t>
      </w:r>
      <w:hyperlink r:id="rId41" w:history="1">
        <w:r w:rsidRPr="00570EBF">
          <w:rPr>
            <w:rStyle w:val="Hyperlink"/>
            <w:rFonts w:ascii="Arial" w:hAnsi="Arial" w:cs="Arial"/>
            <w:sz w:val="18"/>
            <w:szCs w:val="18"/>
          </w:rPr>
          <w:t>Skilled Worker visa: immigration salary list</w:t>
        </w:r>
      </w:hyperlink>
      <w:r w:rsidRPr="00570EBF">
        <w:rPr>
          <w:rFonts w:ascii="Arial" w:hAnsi="Arial" w:cs="Arial"/>
          <w:sz w:val="18"/>
          <w:szCs w:val="18"/>
        </w:rPr>
        <w:t>’ (last updated 11 November 2025).</w:t>
      </w:r>
    </w:p>
  </w:footnote>
  <w:footnote w:id="111">
    <w:p w14:paraId="1D7C4097" w14:textId="4C72059E" w:rsidR="002D0C9C" w:rsidRPr="00570EBF" w:rsidRDefault="002D0C9C" w:rsidP="002D0C9C">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3405D5" w:rsidRPr="00570EBF">
        <w:rPr>
          <w:rFonts w:ascii="Arial" w:hAnsi="Arial" w:cs="Arial"/>
          <w:sz w:val="18"/>
          <w:szCs w:val="18"/>
        </w:rPr>
        <w:t>‘</w:t>
      </w:r>
      <w:hyperlink r:id="rId42" w:history="1">
        <w:r w:rsidR="003405D5" w:rsidRPr="00570EBF">
          <w:rPr>
            <w:rStyle w:val="Hyperlink"/>
            <w:rFonts w:ascii="Arial" w:hAnsi="Arial" w:cs="Arial"/>
            <w:sz w:val="18"/>
            <w:szCs w:val="18"/>
          </w:rPr>
          <w:t>Asylum seekers will pay towards costs of accommodation</w:t>
        </w:r>
      </w:hyperlink>
      <w:r w:rsidR="003405D5" w:rsidRPr="00570EBF">
        <w:rPr>
          <w:rFonts w:ascii="Arial" w:hAnsi="Arial" w:cs="Arial"/>
          <w:sz w:val="18"/>
          <w:szCs w:val="18"/>
        </w:rPr>
        <w:t>’ (30 June 2026).</w:t>
      </w:r>
    </w:p>
  </w:footnote>
  <w:footnote w:id="112">
    <w:p w14:paraId="7CF79080" w14:textId="430D4F11"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3405D5" w:rsidRPr="00570EBF">
        <w:rPr>
          <w:rFonts w:ascii="Arial" w:hAnsi="Arial" w:cs="Arial"/>
          <w:sz w:val="18"/>
          <w:szCs w:val="18"/>
        </w:rPr>
        <w:t>Ibid.</w:t>
      </w:r>
    </w:p>
  </w:footnote>
  <w:footnote w:id="113">
    <w:p w14:paraId="406F76E9" w14:textId="5E245354"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r w:rsidR="0035319C" w:rsidRPr="00570EBF">
        <w:rPr>
          <w:rFonts w:ascii="Arial" w:hAnsi="Arial" w:cs="Arial"/>
          <w:sz w:val="18"/>
          <w:szCs w:val="18"/>
          <w:lang w:val="en-US"/>
        </w:rPr>
        <w:t xml:space="preserve">Immigration and Asylum Bill (n </w:t>
      </w:r>
      <w:r w:rsidR="0035319C" w:rsidRPr="00570EBF">
        <w:rPr>
          <w:rFonts w:ascii="Arial" w:hAnsi="Arial" w:cs="Arial"/>
          <w:sz w:val="18"/>
          <w:szCs w:val="18"/>
          <w:lang w:val="en-US"/>
        </w:rPr>
        <w:fldChar w:fldCharType="begin"/>
      </w:r>
      <w:r w:rsidR="0035319C" w:rsidRPr="00570EBF">
        <w:rPr>
          <w:rFonts w:ascii="Arial" w:hAnsi="Arial" w:cs="Arial"/>
          <w:sz w:val="18"/>
          <w:szCs w:val="18"/>
          <w:lang w:val="en-US"/>
        </w:rPr>
        <w:instrText xml:space="preserve"> NOTEREF _Ref234483691 \h </w:instrText>
      </w:r>
      <w:r w:rsidR="00624A32" w:rsidRPr="00570EBF">
        <w:rPr>
          <w:rFonts w:ascii="Arial" w:hAnsi="Arial" w:cs="Arial"/>
          <w:sz w:val="18"/>
          <w:szCs w:val="18"/>
          <w:lang w:val="en-US"/>
        </w:rPr>
        <w:instrText xml:space="preserve"> \* MERGEFORMAT </w:instrText>
      </w:r>
      <w:r w:rsidR="0035319C" w:rsidRPr="00570EBF">
        <w:rPr>
          <w:rFonts w:ascii="Arial" w:hAnsi="Arial" w:cs="Arial"/>
          <w:sz w:val="18"/>
          <w:szCs w:val="18"/>
          <w:lang w:val="en-US"/>
        </w:rPr>
      </w:r>
      <w:r w:rsidR="0035319C" w:rsidRPr="00570EBF">
        <w:rPr>
          <w:rFonts w:ascii="Arial" w:hAnsi="Arial" w:cs="Arial"/>
          <w:sz w:val="18"/>
          <w:szCs w:val="18"/>
          <w:lang w:val="en-US"/>
        </w:rPr>
        <w:fldChar w:fldCharType="separate"/>
      </w:r>
      <w:r w:rsidR="0035319C" w:rsidRPr="00570EBF">
        <w:rPr>
          <w:rFonts w:ascii="Arial" w:hAnsi="Arial" w:cs="Arial"/>
          <w:sz w:val="18"/>
          <w:szCs w:val="18"/>
          <w:lang w:val="en-US"/>
        </w:rPr>
        <w:t>1</w:t>
      </w:r>
      <w:r w:rsidR="0035319C" w:rsidRPr="00570EBF">
        <w:rPr>
          <w:rFonts w:ascii="Arial" w:hAnsi="Arial" w:cs="Arial"/>
          <w:sz w:val="18"/>
          <w:szCs w:val="18"/>
          <w:lang w:val="en-US"/>
        </w:rPr>
        <w:fldChar w:fldCharType="end"/>
      </w:r>
      <w:r w:rsidR="0035319C" w:rsidRPr="00570EBF">
        <w:rPr>
          <w:rFonts w:ascii="Arial" w:hAnsi="Arial" w:cs="Arial"/>
          <w:sz w:val="18"/>
          <w:szCs w:val="18"/>
          <w:lang w:val="en-US"/>
        </w:rPr>
        <w:t>)</w:t>
      </w:r>
      <w:r w:rsidRPr="00570EBF">
        <w:rPr>
          <w:rFonts w:ascii="Arial" w:hAnsi="Arial" w:cs="Arial"/>
          <w:sz w:val="18"/>
          <w:szCs w:val="18"/>
          <w:lang w:val="en-US"/>
        </w:rPr>
        <w:t xml:space="preserve"> Cl 23(4) and Cl 19(2).</w:t>
      </w:r>
    </w:p>
  </w:footnote>
  <w:footnote w:id="114">
    <w:p w14:paraId="0F319E97"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United Nations Convention on the Rights of the Child (September 1989) Article 3.</w:t>
      </w:r>
    </w:p>
  </w:footnote>
  <w:footnote w:id="115">
    <w:p w14:paraId="7D9DC771"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 Article 2.</w:t>
      </w:r>
    </w:p>
  </w:footnote>
  <w:footnote w:id="116">
    <w:p w14:paraId="28F929EC" w14:textId="77777777" w:rsidR="00651471" w:rsidRPr="00570EBF" w:rsidRDefault="00651471" w:rsidP="00651471">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United Nations Convention on the Rights of the Child (Incorporation) (Scotland) Act 2024 s.6(1).</w:t>
      </w:r>
    </w:p>
  </w:footnote>
  <w:footnote w:id="117">
    <w:p w14:paraId="43484E73" w14:textId="02C15C19"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Modern Slavery Act 2015.</w:t>
      </w:r>
    </w:p>
  </w:footnote>
  <w:footnote w:id="118">
    <w:p w14:paraId="47F66E77" w14:textId="7037E073"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Nationality and Borders Act 2022.</w:t>
      </w:r>
    </w:p>
  </w:footnote>
  <w:footnote w:id="119">
    <w:p w14:paraId="53F89928" w14:textId="3E73D15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w:t>
      </w:r>
      <w:hyperlink r:id="rId43" w:history="1">
        <w:r w:rsidRPr="00570EBF">
          <w:rPr>
            <w:rStyle w:val="Hyperlink"/>
            <w:rFonts w:ascii="Arial" w:hAnsi="Arial" w:cs="Arial"/>
            <w:sz w:val="18"/>
            <w:szCs w:val="18"/>
          </w:rPr>
          <w:t>Restoring Order and Control: A Statement on the Government’s Asylum and Returns Policy</w:t>
        </w:r>
      </w:hyperlink>
      <w:r w:rsidRPr="00570EBF">
        <w:rPr>
          <w:rFonts w:ascii="Arial" w:hAnsi="Arial" w:cs="Arial"/>
          <w:sz w:val="18"/>
          <w:szCs w:val="18"/>
        </w:rPr>
        <w:t>” (November 17 2025); Home Office, “</w:t>
      </w:r>
      <w:hyperlink r:id="rId44" w:history="1">
        <w:r w:rsidRPr="00570EBF">
          <w:rPr>
            <w:rStyle w:val="Hyperlink"/>
            <w:rFonts w:ascii="Arial" w:hAnsi="Arial" w:cs="Arial"/>
            <w:sz w:val="18"/>
            <w:szCs w:val="18"/>
          </w:rPr>
          <w:t>Mahmood: My Reforms Will Save the Asylum System for a Generation</w:t>
        </w:r>
      </w:hyperlink>
      <w:r w:rsidRPr="00570EBF">
        <w:rPr>
          <w:rFonts w:ascii="Arial" w:hAnsi="Arial" w:cs="Arial"/>
          <w:sz w:val="18"/>
          <w:szCs w:val="18"/>
        </w:rPr>
        <w:t>” (June 30 2026).</w:t>
      </w:r>
    </w:p>
  </w:footnote>
  <w:footnote w:id="120">
    <w:p w14:paraId="031869C7" w14:textId="7777777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Thea Littlewood, “</w:t>
      </w:r>
      <w:hyperlink r:id="rId45" w:history="1">
        <w:r w:rsidRPr="00570EBF">
          <w:rPr>
            <w:rStyle w:val="Hyperlink"/>
            <w:rFonts w:ascii="Arial" w:hAnsi="Arial" w:cs="Arial"/>
            <w:sz w:val="18"/>
            <w:szCs w:val="18"/>
          </w:rPr>
          <w:t>The New Immigration and Asylum Bill Will Damage Modern Slavery Protections</w:t>
        </w:r>
      </w:hyperlink>
      <w:r w:rsidRPr="00570EBF">
        <w:rPr>
          <w:rFonts w:ascii="Arial" w:hAnsi="Arial" w:cs="Arial"/>
          <w:sz w:val="18"/>
          <w:szCs w:val="18"/>
        </w:rPr>
        <w:t>” (Anti-Slavery International,</w:t>
      </w:r>
      <w:r w:rsidRPr="00570EBF">
        <w:rPr>
          <w:rFonts w:ascii="Arial" w:hAnsi="Arial" w:cs="Arial"/>
          <w:i/>
          <w:iCs/>
          <w:sz w:val="18"/>
          <w:szCs w:val="18"/>
        </w:rPr>
        <w:t xml:space="preserve"> </w:t>
      </w:r>
      <w:r w:rsidRPr="00570EBF">
        <w:rPr>
          <w:rFonts w:ascii="Arial" w:hAnsi="Arial" w:cs="Arial"/>
          <w:sz w:val="18"/>
          <w:szCs w:val="18"/>
        </w:rPr>
        <w:t>July 2, 2026).</w:t>
      </w:r>
    </w:p>
  </w:footnote>
  <w:footnote w:id="121">
    <w:p w14:paraId="5A9EAD64" w14:textId="1BEDAE85"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w:t>
      </w:r>
      <w:hyperlink r:id="rId46" w:history="1">
        <w:r w:rsidRPr="00570EBF">
          <w:rPr>
            <w:rStyle w:val="Hyperlink"/>
            <w:rFonts w:ascii="Arial" w:hAnsi="Arial" w:cs="Arial"/>
            <w:sz w:val="18"/>
            <w:szCs w:val="18"/>
          </w:rPr>
          <w:t>Modern Slavery: National Referral Mechanism and Duty to Notify Statistics UK, End of Year Summary 2025</w:t>
        </w:r>
      </w:hyperlink>
      <w:r w:rsidRPr="00570EBF">
        <w:rPr>
          <w:rFonts w:ascii="Arial" w:hAnsi="Arial" w:cs="Arial"/>
          <w:sz w:val="18"/>
          <w:szCs w:val="18"/>
        </w:rPr>
        <w:t>” (February 19</w:t>
      </w:r>
      <w:proofErr w:type="gramStart"/>
      <w:r w:rsidRPr="00570EBF">
        <w:rPr>
          <w:rFonts w:ascii="Arial" w:hAnsi="Arial" w:cs="Arial"/>
          <w:sz w:val="18"/>
          <w:szCs w:val="18"/>
        </w:rPr>
        <w:t xml:space="preserve"> 2026</w:t>
      </w:r>
      <w:proofErr w:type="gramEnd"/>
      <w:r w:rsidRPr="00570EBF">
        <w:rPr>
          <w:rFonts w:ascii="Arial" w:hAnsi="Arial" w:cs="Arial"/>
          <w:sz w:val="18"/>
          <w:szCs w:val="18"/>
        </w:rPr>
        <w:t>).</w:t>
      </w:r>
    </w:p>
  </w:footnote>
  <w:footnote w:id="122">
    <w:p w14:paraId="146EB4B8" w14:textId="7777777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47" w:history="1">
        <w:r w:rsidRPr="00570EBF">
          <w:rPr>
            <w:rStyle w:val="Hyperlink"/>
            <w:rFonts w:ascii="Arial" w:hAnsi="Arial" w:cs="Arial"/>
            <w:sz w:val="18"/>
            <w:szCs w:val="18"/>
          </w:rPr>
          <w:t>New Report: Anticipating Exploitation: A Futures Analysis | Independent Anti-Slavery Commissioner</w:t>
        </w:r>
      </w:hyperlink>
      <w:r w:rsidRPr="00570EBF">
        <w:rPr>
          <w:rFonts w:ascii="Arial" w:hAnsi="Arial" w:cs="Arial"/>
          <w:sz w:val="18"/>
          <w:szCs w:val="18"/>
        </w:rPr>
        <w:t>” (Independent Anti-Slavery Commissioner,</w:t>
      </w:r>
      <w:r w:rsidRPr="00570EBF">
        <w:rPr>
          <w:rFonts w:ascii="Arial" w:hAnsi="Arial" w:cs="Arial"/>
          <w:i/>
          <w:iCs/>
          <w:sz w:val="18"/>
          <w:szCs w:val="18"/>
        </w:rPr>
        <w:t xml:space="preserve"> </w:t>
      </w:r>
      <w:r w:rsidRPr="00570EBF">
        <w:rPr>
          <w:rFonts w:ascii="Arial" w:hAnsi="Arial" w:cs="Arial"/>
          <w:sz w:val="18"/>
          <w:szCs w:val="18"/>
        </w:rPr>
        <w:t>2025).</w:t>
      </w:r>
    </w:p>
  </w:footnote>
  <w:footnote w:id="123">
    <w:p w14:paraId="7617A3B9" w14:textId="24A0A93D"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Group of Experts on Action against Trafficking in Human Beings, </w:t>
      </w:r>
      <w:hyperlink r:id="rId48" w:history="1">
        <w:r w:rsidRPr="00570EBF">
          <w:rPr>
            <w:rStyle w:val="Hyperlink"/>
            <w:rFonts w:ascii="Arial" w:hAnsi="Arial" w:cs="Arial"/>
            <w:sz w:val="18"/>
            <w:szCs w:val="18"/>
          </w:rPr>
          <w:t>'Evaluation Report: United Kingdom</w:t>
        </w:r>
      </w:hyperlink>
      <w:r w:rsidRPr="00570EBF">
        <w:rPr>
          <w:rFonts w:ascii="Arial" w:hAnsi="Arial" w:cs="Arial"/>
          <w:sz w:val="18"/>
          <w:szCs w:val="18"/>
        </w:rPr>
        <w:t>' (5 May 2026)</w:t>
      </w:r>
    </w:p>
  </w:footnote>
  <w:footnote w:id="124">
    <w:p w14:paraId="03F0E8D8" w14:textId="1C48EE39"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sz w:val="18"/>
          <w:szCs w:val="18"/>
        </w:rPr>
        <w:t>Kamena</w:t>
      </w:r>
      <w:proofErr w:type="spellEnd"/>
      <w:r w:rsidRPr="00570EBF">
        <w:rPr>
          <w:rFonts w:ascii="Arial" w:hAnsi="Arial" w:cs="Arial"/>
          <w:sz w:val="18"/>
          <w:szCs w:val="18"/>
        </w:rPr>
        <w:t xml:space="preserve"> Dorling and Beth Mullan-Feroze, “</w:t>
      </w:r>
      <w:hyperlink r:id="rId49" w:history="1">
        <w:r w:rsidRPr="00570EBF">
          <w:rPr>
            <w:rStyle w:val="Hyperlink"/>
            <w:rFonts w:ascii="Arial" w:hAnsi="Arial" w:cs="Arial"/>
            <w:sz w:val="18"/>
            <w:szCs w:val="18"/>
          </w:rPr>
          <w:t>Thousands of Confirmed Trafficking Victims Denied Permission to Stay in the UK and Left at Risk, New Report Shows | Helen Bamber</w:t>
        </w:r>
      </w:hyperlink>
      <w:r w:rsidRPr="00570EBF">
        <w:rPr>
          <w:rFonts w:ascii="Arial" w:hAnsi="Arial" w:cs="Arial"/>
          <w:sz w:val="18"/>
          <w:szCs w:val="18"/>
        </w:rPr>
        <w:t>” (</w:t>
      </w:r>
      <w:r w:rsidR="0035319C" w:rsidRPr="00570EBF">
        <w:rPr>
          <w:rFonts w:ascii="Arial" w:hAnsi="Arial" w:cs="Arial"/>
          <w:sz w:val="18"/>
          <w:szCs w:val="18"/>
        </w:rPr>
        <w:t>Helen Bamber Foundation</w:t>
      </w:r>
      <w:r w:rsidRPr="00570EBF">
        <w:rPr>
          <w:rFonts w:ascii="Arial" w:hAnsi="Arial" w:cs="Arial"/>
          <w:i/>
          <w:iCs/>
          <w:sz w:val="18"/>
          <w:szCs w:val="18"/>
        </w:rPr>
        <w:t xml:space="preserve">, </w:t>
      </w:r>
      <w:r w:rsidRPr="00570EBF">
        <w:rPr>
          <w:rFonts w:ascii="Arial" w:hAnsi="Arial" w:cs="Arial"/>
          <w:sz w:val="18"/>
          <w:szCs w:val="18"/>
        </w:rPr>
        <w:t>July 15, 2025); Diane Taylor, “</w:t>
      </w:r>
      <w:hyperlink r:id="rId50" w:history="1">
        <w:r w:rsidRPr="00570EBF">
          <w:rPr>
            <w:rStyle w:val="Hyperlink"/>
            <w:rFonts w:ascii="Arial" w:hAnsi="Arial" w:cs="Arial"/>
            <w:sz w:val="18"/>
            <w:szCs w:val="18"/>
          </w:rPr>
          <w:t>Trafficking Victims Rejecting UK Government Support Because They Fear Being Deported</w:t>
        </w:r>
      </w:hyperlink>
      <w:r w:rsidRPr="00570EBF">
        <w:rPr>
          <w:rFonts w:ascii="Arial" w:hAnsi="Arial" w:cs="Arial"/>
          <w:sz w:val="18"/>
          <w:szCs w:val="18"/>
        </w:rPr>
        <w:t>” (the Guardian</w:t>
      </w:r>
      <w:r w:rsidRPr="00570EBF">
        <w:rPr>
          <w:rFonts w:ascii="Arial" w:hAnsi="Arial" w:cs="Arial"/>
          <w:i/>
          <w:iCs/>
          <w:sz w:val="18"/>
          <w:szCs w:val="18"/>
        </w:rPr>
        <w:t xml:space="preserve">, </w:t>
      </w:r>
      <w:r w:rsidRPr="00570EBF">
        <w:rPr>
          <w:rFonts w:ascii="Arial" w:hAnsi="Arial" w:cs="Arial"/>
          <w:sz w:val="18"/>
          <w:szCs w:val="18"/>
        </w:rPr>
        <w:t>April 13, 2025).</w:t>
      </w:r>
    </w:p>
  </w:footnote>
  <w:footnote w:id="125">
    <w:p w14:paraId="4C216B07" w14:textId="6E396FB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Nationality and Borders Act 2022, s.60A.</w:t>
      </w:r>
    </w:p>
  </w:footnote>
  <w:footnote w:id="126">
    <w:p w14:paraId="3913CD1A" w14:textId="329DA2E5"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Immigration and Asylum Bill (</w:t>
      </w:r>
      <w:r w:rsidR="00D93350" w:rsidRPr="00570EBF">
        <w:rPr>
          <w:rFonts w:ascii="Arial" w:hAnsi="Arial" w:cs="Arial"/>
          <w:sz w:val="18"/>
          <w:szCs w:val="18"/>
        </w:rPr>
        <w:t xml:space="preserve">n </w:t>
      </w:r>
      <w:r w:rsidR="00D93350" w:rsidRPr="00570EBF">
        <w:rPr>
          <w:rFonts w:ascii="Arial" w:hAnsi="Arial" w:cs="Arial"/>
          <w:sz w:val="18"/>
          <w:szCs w:val="18"/>
        </w:rPr>
        <w:fldChar w:fldCharType="begin"/>
      </w:r>
      <w:r w:rsidR="00D93350" w:rsidRPr="00570EBF">
        <w:rPr>
          <w:rFonts w:ascii="Arial" w:hAnsi="Arial" w:cs="Arial"/>
          <w:sz w:val="18"/>
          <w:szCs w:val="18"/>
        </w:rPr>
        <w:instrText xml:space="preserve"> NOTEREF _Ref234483691 \h </w:instrText>
      </w:r>
      <w:r w:rsidR="00624A32" w:rsidRPr="00570EBF">
        <w:rPr>
          <w:rFonts w:ascii="Arial" w:hAnsi="Arial" w:cs="Arial"/>
          <w:sz w:val="18"/>
          <w:szCs w:val="18"/>
        </w:rPr>
        <w:instrText xml:space="preserve"> \* MERGEFORMAT </w:instrText>
      </w:r>
      <w:r w:rsidR="00D93350" w:rsidRPr="00570EBF">
        <w:rPr>
          <w:rFonts w:ascii="Arial" w:hAnsi="Arial" w:cs="Arial"/>
          <w:sz w:val="18"/>
          <w:szCs w:val="18"/>
        </w:rPr>
      </w:r>
      <w:r w:rsidR="00D93350" w:rsidRPr="00570EBF">
        <w:rPr>
          <w:rFonts w:ascii="Arial" w:hAnsi="Arial" w:cs="Arial"/>
          <w:sz w:val="18"/>
          <w:szCs w:val="18"/>
        </w:rPr>
        <w:fldChar w:fldCharType="separate"/>
      </w:r>
      <w:r w:rsidR="00D93350" w:rsidRPr="00570EBF">
        <w:rPr>
          <w:rFonts w:ascii="Arial" w:hAnsi="Arial" w:cs="Arial"/>
          <w:sz w:val="18"/>
          <w:szCs w:val="18"/>
        </w:rPr>
        <w:t>1</w:t>
      </w:r>
      <w:r w:rsidR="00D93350" w:rsidRPr="00570EBF">
        <w:rPr>
          <w:rFonts w:ascii="Arial" w:hAnsi="Arial" w:cs="Arial"/>
          <w:sz w:val="18"/>
          <w:szCs w:val="18"/>
        </w:rPr>
        <w:fldChar w:fldCharType="end"/>
      </w:r>
      <w:r w:rsidR="00D93350" w:rsidRPr="00570EBF">
        <w:rPr>
          <w:rFonts w:ascii="Arial" w:hAnsi="Arial" w:cs="Arial"/>
          <w:sz w:val="18"/>
          <w:szCs w:val="18"/>
        </w:rPr>
        <w:t>)</w:t>
      </w:r>
      <w:r w:rsidRPr="00570EBF">
        <w:rPr>
          <w:rFonts w:ascii="Arial" w:hAnsi="Arial" w:cs="Arial"/>
          <w:sz w:val="18"/>
          <w:szCs w:val="18"/>
        </w:rPr>
        <w:t xml:space="preserve"> Cl 36</w:t>
      </w:r>
      <w:r w:rsidR="00D93350" w:rsidRPr="00570EBF">
        <w:rPr>
          <w:rFonts w:ascii="Arial" w:hAnsi="Arial" w:cs="Arial"/>
          <w:sz w:val="18"/>
          <w:szCs w:val="18"/>
        </w:rPr>
        <w:t>.</w:t>
      </w:r>
      <w:r w:rsidRPr="00570EBF">
        <w:rPr>
          <w:rFonts w:ascii="Arial" w:hAnsi="Arial" w:cs="Arial"/>
          <w:sz w:val="18"/>
          <w:szCs w:val="18"/>
        </w:rPr>
        <w:t xml:space="preserve"> </w:t>
      </w:r>
    </w:p>
  </w:footnote>
  <w:footnote w:id="127">
    <w:p w14:paraId="47B024F4" w14:textId="31476E61"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51" w:history="1">
        <w:r w:rsidRPr="00570EBF">
          <w:rPr>
            <w:rStyle w:val="Hyperlink"/>
            <w:rFonts w:ascii="Arial" w:hAnsi="Arial" w:cs="Arial"/>
            <w:sz w:val="18"/>
            <w:szCs w:val="18"/>
          </w:rPr>
          <w:t>Barriers to Disclosure: A Survivor of Trafficking’s Journey through the Immigration Process</w:t>
        </w:r>
      </w:hyperlink>
      <w:r w:rsidRPr="00570EBF">
        <w:rPr>
          <w:rFonts w:ascii="Arial" w:hAnsi="Arial" w:cs="Arial"/>
          <w:sz w:val="18"/>
          <w:szCs w:val="18"/>
        </w:rPr>
        <w:t>” (</w:t>
      </w:r>
      <w:r w:rsidR="00357062" w:rsidRPr="00570EBF">
        <w:rPr>
          <w:rFonts w:ascii="Arial" w:hAnsi="Arial" w:cs="Arial"/>
          <w:sz w:val="18"/>
          <w:szCs w:val="18"/>
        </w:rPr>
        <w:t>Medical Justice</w:t>
      </w:r>
      <w:r w:rsidRPr="00570EBF">
        <w:rPr>
          <w:rFonts w:ascii="Arial" w:hAnsi="Arial" w:cs="Arial"/>
          <w:i/>
          <w:iCs/>
          <w:sz w:val="18"/>
          <w:szCs w:val="18"/>
        </w:rPr>
        <w:t xml:space="preserve">, </w:t>
      </w:r>
      <w:r w:rsidRPr="00570EBF">
        <w:rPr>
          <w:rFonts w:ascii="Arial" w:hAnsi="Arial" w:cs="Arial"/>
          <w:sz w:val="18"/>
          <w:szCs w:val="18"/>
        </w:rPr>
        <w:t>2026).</w:t>
      </w:r>
    </w:p>
  </w:footnote>
  <w:footnote w:id="128">
    <w:p w14:paraId="4B867B8F" w14:textId="73C8E5A9"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00992AE0" w:rsidRPr="00570EBF">
        <w:rPr>
          <w:rFonts w:ascii="Arial" w:hAnsi="Arial" w:cs="Arial"/>
          <w:sz w:val="18"/>
          <w:szCs w:val="18"/>
        </w:rPr>
        <w:t xml:space="preserve"> Home Office guidance,</w:t>
      </w:r>
      <w:r w:rsidRPr="00570EBF">
        <w:rPr>
          <w:rFonts w:ascii="Arial" w:hAnsi="Arial" w:cs="Arial"/>
          <w:sz w:val="18"/>
          <w:szCs w:val="18"/>
        </w:rPr>
        <w:t xml:space="preserve"> “</w:t>
      </w:r>
      <w:hyperlink r:id="rId52" w:history="1">
        <w:r w:rsidRPr="00570EBF">
          <w:rPr>
            <w:rStyle w:val="Hyperlink"/>
            <w:rFonts w:ascii="Arial" w:hAnsi="Arial" w:cs="Arial"/>
            <w:sz w:val="18"/>
            <w:szCs w:val="18"/>
          </w:rPr>
          <w:t>Modern Slav</w:t>
        </w:r>
        <w:bookmarkStart w:id="16" w:name="_Hlt234486962"/>
        <w:bookmarkStart w:id="17" w:name="_Hlt234486963"/>
        <w:r w:rsidRPr="00570EBF">
          <w:rPr>
            <w:rStyle w:val="Hyperlink"/>
            <w:rFonts w:ascii="Arial" w:hAnsi="Arial" w:cs="Arial"/>
            <w:sz w:val="18"/>
            <w:szCs w:val="18"/>
          </w:rPr>
          <w:t>e</w:t>
        </w:r>
        <w:bookmarkEnd w:id="16"/>
        <w:bookmarkEnd w:id="17"/>
        <w:r w:rsidRPr="00570EBF">
          <w:rPr>
            <w:rStyle w:val="Hyperlink"/>
            <w:rFonts w:ascii="Arial" w:hAnsi="Arial" w:cs="Arial"/>
            <w:sz w:val="18"/>
            <w:szCs w:val="18"/>
          </w:rPr>
          <w:t>ry: Statutory Guidance for England and Wales (under S49 of the Modern Slavery Act 2015) and Non-Statutory Guidance for Scotland and Northern Ireland</w:t>
        </w:r>
      </w:hyperlink>
      <w:r w:rsidRPr="00570EBF">
        <w:rPr>
          <w:rFonts w:ascii="Arial" w:hAnsi="Arial" w:cs="Arial"/>
          <w:sz w:val="18"/>
          <w:szCs w:val="18"/>
        </w:rPr>
        <w:t>” (</w:t>
      </w:r>
      <w:r w:rsidR="00992AE0" w:rsidRPr="00570EBF">
        <w:rPr>
          <w:rFonts w:ascii="Arial" w:hAnsi="Arial" w:cs="Arial"/>
          <w:sz w:val="18"/>
          <w:szCs w:val="18"/>
        </w:rPr>
        <w:t xml:space="preserve">version 4.6, </w:t>
      </w:r>
      <w:r w:rsidRPr="00570EBF">
        <w:rPr>
          <w:rFonts w:ascii="Arial" w:hAnsi="Arial" w:cs="Arial"/>
          <w:sz w:val="18"/>
          <w:szCs w:val="18"/>
        </w:rPr>
        <w:t>11 May 2026).</w:t>
      </w:r>
    </w:p>
  </w:footnote>
  <w:footnote w:id="129">
    <w:p w14:paraId="013EEB67" w14:textId="77777777"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Council of Europe, “</w:t>
      </w:r>
      <w:hyperlink r:id="rId53" w:history="1">
        <w:r w:rsidRPr="00570EBF">
          <w:rPr>
            <w:rStyle w:val="Hyperlink"/>
            <w:rFonts w:ascii="Arial" w:hAnsi="Arial" w:cs="Arial"/>
            <w:sz w:val="18"/>
            <w:szCs w:val="18"/>
          </w:rPr>
          <w:t>Council of Europe: Convention on Action Against Trafficking in Human Beings</w:t>
        </w:r>
      </w:hyperlink>
      <w:r w:rsidRPr="00570EBF">
        <w:rPr>
          <w:rFonts w:ascii="Arial" w:hAnsi="Arial" w:cs="Arial"/>
          <w:sz w:val="18"/>
          <w:szCs w:val="18"/>
        </w:rPr>
        <w:t>” (2006) 45 International Legal Materials 12.</w:t>
      </w:r>
    </w:p>
  </w:footnote>
  <w:footnote w:id="130">
    <w:p w14:paraId="65D988B6" w14:textId="647EFBD0"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proofErr w:type="spellStart"/>
      <w:r w:rsidRPr="00570EBF">
        <w:rPr>
          <w:rFonts w:ascii="Arial" w:hAnsi="Arial" w:cs="Arial"/>
          <w:i/>
          <w:iCs/>
          <w:sz w:val="18"/>
          <w:szCs w:val="18"/>
        </w:rPr>
        <w:t>Rantsev</w:t>
      </w:r>
      <w:proofErr w:type="spellEnd"/>
      <w:r w:rsidRPr="00570EBF">
        <w:rPr>
          <w:rFonts w:ascii="Arial" w:hAnsi="Arial" w:cs="Arial"/>
          <w:i/>
          <w:iCs/>
          <w:sz w:val="18"/>
          <w:szCs w:val="18"/>
        </w:rPr>
        <w:t xml:space="preserve"> v Cyprus and Russia </w:t>
      </w:r>
      <w:r w:rsidR="00992AE0" w:rsidRPr="00570EBF">
        <w:rPr>
          <w:rFonts w:ascii="Arial" w:hAnsi="Arial" w:cs="Arial"/>
          <w:sz w:val="18"/>
          <w:szCs w:val="18"/>
        </w:rPr>
        <w:t xml:space="preserve">(n </w:t>
      </w:r>
      <w:r w:rsidR="00992AE0" w:rsidRPr="00570EBF">
        <w:rPr>
          <w:rFonts w:ascii="Arial" w:hAnsi="Arial" w:cs="Arial"/>
          <w:sz w:val="18"/>
          <w:szCs w:val="18"/>
        </w:rPr>
        <w:fldChar w:fldCharType="begin"/>
      </w:r>
      <w:r w:rsidR="00992AE0" w:rsidRPr="00570EBF">
        <w:rPr>
          <w:rFonts w:ascii="Arial" w:hAnsi="Arial" w:cs="Arial"/>
          <w:sz w:val="18"/>
          <w:szCs w:val="18"/>
        </w:rPr>
        <w:instrText xml:space="preserve"> NOTEREF _Ref234487017 \h </w:instrText>
      </w:r>
      <w:r w:rsidR="00624A32" w:rsidRPr="00570EBF">
        <w:rPr>
          <w:rFonts w:ascii="Arial" w:hAnsi="Arial" w:cs="Arial"/>
          <w:sz w:val="18"/>
          <w:szCs w:val="18"/>
        </w:rPr>
        <w:instrText xml:space="preserve"> \* MERGEFORMAT </w:instrText>
      </w:r>
      <w:r w:rsidR="00992AE0" w:rsidRPr="00570EBF">
        <w:rPr>
          <w:rFonts w:ascii="Arial" w:hAnsi="Arial" w:cs="Arial"/>
          <w:sz w:val="18"/>
          <w:szCs w:val="18"/>
        </w:rPr>
      </w:r>
      <w:r w:rsidR="00992AE0" w:rsidRPr="00570EBF">
        <w:rPr>
          <w:rFonts w:ascii="Arial" w:hAnsi="Arial" w:cs="Arial"/>
          <w:sz w:val="18"/>
          <w:szCs w:val="18"/>
        </w:rPr>
        <w:fldChar w:fldCharType="separate"/>
      </w:r>
      <w:r w:rsidR="00992AE0" w:rsidRPr="00570EBF">
        <w:rPr>
          <w:rFonts w:ascii="Arial" w:hAnsi="Arial" w:cs="Arial"/>
          <w:sz w:val="18"/>
          <w:szCs w:val="18"/>
        </w:rPr>
        <w:t>49</w:t>
      </w:r>
      <w:r w:rsidR="00992AE0" w:rsidRPr="00570EBF">
        <w:rPr>
          <w:rFonts w:ascii="Arial" w:hAnsi="Arial" w:cs="Arial"/>
          <w:sz w:val="18"/>
          <w:szCs w:val="18"/>
        </w:rPr>
        <w:fldChar w:fldCharType="end"/>
      </w:r>
      <w:r w:rsidR="00992AE0" w:rsidRPr="00570EBF">
        <w:rPr>
          <w:rFonts w:ascii="Arial" w:hAnsi="Arial" w:cs="Arial"/>
          <w:sz w:val="18"/>
          <w:szCs w:val="18"/>
        </w:rPr>
        <w:t>).</w:t>
      </w:r>
    </w:p>
  </w:footnote>
  <w:footnote w:id="131">
    <w:p w14:paraId="655E9418" w14:textId="7777777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Dr Patrick Burland and Yiwen </w:t>
      </w:r>
      <w:proofErr w:type="gramStart"/>
      <w:r w:rsidRPr="00570EBF">
        <w:rPr>
          <w:rFonts w:ascii="Arial" w:hAnsi="Arial" w:cs="Arial"/>
          <w:sz w:val="18"/>
          <w:szCs w:val="18"/>
        </w:rPr>
        <w:t>Zhang ,</w:t>
      </w:r>
      <w:proofErr w:type="gramEnd"/>
      <w:r w:rsidRPr="00570EBF">
        <w:rPr>
          <w:rFonts w:ascii="Arial" w:hAnsi="Arial" w:cs="Arial"/>
          <w:sz w:val="18"/>
          <w:szCs w:val="18"/>
        </w:rPr>
        <w:t xml:space="preserve"> “</w:t>
      </w:r>
      <w:hyperlink r:id="rId54" w:history="1">
        <w:r w:rsidRPr="00570EBF">
          <w:rPr>
            <w:rStyle w:val="Hyperlink"/>
            <w:rFonts w:ascii="Arial" w:hAnsi="Arial" w:cs="Arial"/>
            <w:sz w:val="18"/>
            <w:szCs w:val="18"/>
          </w:rPr>
          <w:t>Seeing beyond the Negative: An Examination of Key Variables in the Different Reasons for the Decisions Not to Formally Recognise People as Survivors of Modern Slavery</w:t>
        </w:r>
      </w:hyperlink>
      <w:r w:rsidRPr="00570EBF">
        <w:rPr>
          <w:rFonts w:ascii="Arial" w:hAnsi="Arial" w:cs="Arial"/>
          <w:sz w:val="18"/>
          <w:szCs w:val="18"/>
        </w:rPr>
        <w:t>” (2025).</w:t>
      </w:r>
    </w:p>
  </w:footnote>
  <w:footnote w:id="132">
    <w:p w14:paraId="78644A30" w14:textId="4C058093"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w:t>
      </w:r>
      <w:hyperlink r:id="rId55" w:history="1">
        <w:r w:rsidRPr="00570EBF">
          <w:rPr>
            <w:rStyle w:val="Hyperlink"/>
            <w:rFonts w:ascii="Arial" w:hAnsi="Arial" w:cs="Arial"/>
            <w:sz w:val="18"/>
            <w:szCs w:val="18"/>
          </w:rPr>
          <w:t>Modern Slavery: National Referral Mechanism and Duty to Notify Statistics UK, Quarter 1 2025 - January to March</w:t>
        </w:r>
      </w:hyperlink>
      <w:r w:rsidRPr="00570EBF">
        <w:rPr>
          <w:rFonts w:ascii="Arial" w:hAnsi="Arial" w:cs="Arial"/>
          <w:sz w:val="18"/>
          <w:szCs w:val="18"/>
        </w:rPr>
        <w:t>” (May 8</w:t>
      </w:r>
      <w:proofErr w:type="gramStart"/>
      <w:r w:rsidRPr="00570EBF">
        <w:rPr>
          <w:rFonts w:ascii="Arial" w:hAnsi="Arial" w:cs="Arial"/>
          <w:sz w:val="18"/>
          <w:szCs w:val="18"/>
        </w:rPr>
        <w:t xml:space="preserve"> 2025</w:t>
      </w:r>
      <w:proofErr w:type="gramEnd"/>
      <w:r w:rsidRPr="00570EBF">
        <w:rPr>
          <w:rFonts w:ascii="Arial" w:hAnsi="Arial" w:cs="Arial"/>
          <w:sz w:val="18"/>
          <w:szCs w:val="18"/>
        </w:rPr>
        <w:t>).</w:t>
      </w:r>
    </w:p>
  </w:footnote>
  <w:footnote w:id="133">
    <w:p w14:paraId="3A7EFBBD" w14:textId="30F54DC2"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Home Office, “</w:t>
      </w:r>
      <w:hyperlink r:id="rId56" w:history="1">
        <w:r w:rsidRPr="00570EBF">
          <w:rPr>
            <w:rStyle w:val="Hyperlink"/>
            <w:rFonts w:ascii="Arial" w:hAnsi="Arial" w:cs="Arial"/>
            <w:sz w:val="18"/>
            <w:szCs w:val="18"/>
          </w:rPr>
          <w:t>Modern Slavery: National Referral Mechanism and Duty to Notify Statistics UK, Quarter 1 2026 - January to March</w:t>
        </w:r>
      </w:hyperlink>
      <w:r w:rsidRPr="00570EBF">
        <w:rPr>
          <w:rFonts w:ascii="Arial" w:hAnsi="Arial" w:cs="Arial"/>
          <w:sz w:val="18"/>
          <w:szCs w:val="18"/>
        </w:rPr>
        <w:t>” (May 14</w:t>
      </w:r>
      <w:proofErr w:type="gramStart"/>
      <w:r w:rsidRPr="00570EBF">
        <w:rPr>
          <w:rFonts w:ascii="Arial" w:hAnsi="Arial" w:cs="Arial"/>
          <w:sz w:val="18"/>
          <w:szCs w:val="18"/>
        </w:rPr>
        <w:t xml:space="preserve"> 2026</w:t>
      </w:r>
      <w:proofErr w:type="gramEnd"/>
      <w:r w:rsidRPr="00570EBF">
        <w:rPr>
          <w:rFonts w:ascii="Arial" w:hAnsi="Arial" w:cs="Arial"/>
          <w:sz w:val="18"/>
          <w:szCs w:val="18"/>
        </w:rPr>
        <w:t>).</w:t>
      </w:r>
    </w:p>
  </w:footnote>
  <w:footnote w:id="134">
    <w:p w14:paraId="348C5582" w14:textId="16DBC785"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Jasmine Quiller-Doust, “</w:t>
      </w:r>
      <w:hyperlink r:id="rId57" w:history="1">
        <w:r w:rsidRPr="00570EBF">
          <w:rPr>
            <w:rStyle w:val="Hyperlink"/>
            <w:rFonts w:ascii="Arial" w:hAnsi="Arial" w:cs="Arial"/>
            <w:sz w:val="18"/>
            <w:szCs w:val="18"/>
          </w:rPr>
          <w:t>Nearly 90% of Conclusive Grounds Reconsiderations Result in Positive Outcome and More UK Referrals than Ever</w:t>
        </w:r>
      </w:hyperlink>
      <w:r w:rsidRPr="00570EBF">
        <w:rPr>
          <w:rFonts w:ascii="Arial" w:hAnsi="Arial" w:cs="Arial"/>
          <w:sz w:val="18"/>
          <w:szCs w:val="18"/>
        </w:rPr>
        <w:t>” (</w:t>
      </w:r>
      <w:proofErr w:type="spellStart"/>
      <w:r w:rsidRPr="00570EBF">
        <w:rPr>
          <w:rFonts w:ascii="Arial" w:hAnsi="Arial" w:cs="Arial"/>
          <w:sz w:val="18"/>
          <w:szCs w:val="18"/>
        </w:rPr>
        <w:t>Fre</w:t>
      </w:r>
      <w:r w:rsidR="00992AE0" w:rsidRPr="00570EBF">
        <w:rPr>
          <w:rFonts w:ascii="Arial" w:hAnsi="Arial" w:cs="Arial"/>
          <w:sz w:val="18"/>
          <w:szCs w:val="18"/>
        </w:rPr>
        <w:t>emovement</w:t>
      </w:r>
      <w:proofErr w:type="spellEnd"/>
      <w:r w:rsidRPr="00570EBF">
        <w:rPr>
          <w:rFonts w:ascii="Arial" w:hAnsi="Arial" w:cs="Arial"/>
          <w:i/>
          <w:iCs/>
          <w:sz w:val="18"/>
          <w:szCs w:val="18"/>
        </w:rPr>
        <w:t xml:space="preserve">, </w:t>
      </w:r>
      <w:r w:rsidRPr="00570EBF">
        <w:rPr>
          <w:rFonts w:ascii="Arial" w:hAnsi="Arial" w:cs="Arial"/>
          <w:sz w:val="18"/>
          <w:szCs w:val="18"/>
        </w:rPr>
        <w:t>May 14, 2026).</w:t>
      </w:r>
    </w:p>
  </w:footnote>
  <w:footnote w:id="135">
    <w:p w14:paraId="09911774" w14:textId="7DF27C0F" w:rsidR="24468CEF" w:rsidRPr="00570EBF" w:rsidRDefault="24468CEF" w:rsidP="24468CEF">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Nationality and Borders Act 2022 s.65. </w:t>
      </w:r>
    </w:p>
  </w:footnote>
  <w:footnote w:id="136">
    <w:p w14:paraId="0614CD20" w14:textId="5186BB1A"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58" w:history="1">
        <w:r w:rsidRPr="00570EBF">
          <w:rPr>
            <w:rStyle w:val="Hyperlink"/>
            <w:rFonts w:ascii="Arial" w:hAnsi="Arial" w:cs="Arial"/>
            <w:sz w:val="18"/>
            <w:szCs w:val="18"/>
          </w:rPr>
          <w:t>Without Secure Immigration Status, Trafficking Survivors Cannot Recover from Trauma. It’s Time to Change That. | Helen Bamber</w:t>
        </w:r>
      </w:hyperlink>
      <w:r w:rsidRPr="00570EBF">
        <w:rPr>
          <w:rFonts w:ascii="Arial" w:hAnsi="Arial" w:cs="Arial"/>
          <w:sz w:val="18"/>
          <w:szCs w:val="18"/>
        </w:rPr>
        <w:t>” (</w:t>
      </w:r>
      <w:r w:rsidR="00855AA5" w:rsidRPr="00570EBF">
        <w:rPr>
          <w:rFonts w:ascii="Arial" w:hAnsi="Arial" w:cs="Arial"/>
          <w:sz w:val="18"/>
          <w:szCs w:val="18"/>
        </w:rPr>
        <w:t>Helen Bamber Foundation</w:t>
      </w:r>
      <w:r w:rsidRPr="00570EBF">
        <w:rPr>
          <w:rFonts w:ascii="Arial" w:hAnsi="Arial" w:cs="Arial"/>
          <w:sz w:val="18"/>
          <w:szCs w:val="18"/>
        </w:rPr>
        <w:t>,</w:t>
      </w:r>
      <w:r w:rsidRPr="00570EBF">
        <w:rPr>
          <w:rFonts w:ascii="Arial" w:hAnsi="Arial" w:cs="Arial"/>
          <w:i/>
          <w:iCs/>
          <w:sz w:val="18"/>
          <w:szCs w:val="18"/>
        </w:rPr>
        <w:t xml:space="preserve"> </w:t>
      </w:r>
      <w:r w:rsidRPr="00570EBF">
        <w:rPr>
          <w:rFonts w:ascii="Arial" w:hAnsi="Arial" w:cs="Arial"/>
          <w:sz w:val="18"/>
          <w:szCs w:val="18"/>
        </w:rPr>
        <w:t>October 17, 2024).</w:t>
      </w:r>
    </w:p>
  </w:footnote>
  <w:footnote w:id="137">
    <w:p w14:paraId="670DF4E0" w14:textId="7777777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Beth Mullan-Feroze and </w:t>
      </w:r>
      <w:proofErr w:type="spellStart"/>
      <w:r w:rsidRPr="00570EBF">
        <w:rPr>
          <w:rFonts w:ascii="Arial" w:hAnsi="Arial" w:cs="Arial"/>
          <w:sz w:val="18"/>
          <w:szCs w:val="18"/>
        </w:rPr>
        <w:t>Kamena</w:t>
      </w:r>
      <w:proofErr w:type="spellEnd"/>
      <w:r w:rsidRPr="00570EBF">
        <w:rPr>
          <w:rFonts w:ascii="Arial" w:hAnsi="Arial" w:cs="Arial"/>
          <w:sz w:val="18"/>
          <w:szCs w:val="18"/>
        </w:rPr>
        <w:t xml:space="preserve"> Dorling, “</w:t>
      </w:r>
      <w:hyperlink r:id="rId59" w:history="1">
        <w:r w:rsidRPr="00570EBF">
          <w:rPr>
            <w:rStyle w:val="Hyperlink"/>
            <w:rFonts w:ascii="Arial" w:hAnsi="Arial" w:cs="Arial"/>
            <w:sz w:val="18"/>
            <w:szCs w:val="18"/>
          </w:rPr>
          <w:t>Road to Nowhere: The Impact of Insecure Immigration Status of Survivors of Trafficking</w:t>
        </w:r>
      </w:hyperlink>
      <w:r w:rsidRPr="00570EBF">
        <w:rPr>
          <w:rFonts w:ascii="Arial" w:hAnsi="Arial" w:cs="Arial"/>
          <w:sz w:val="18"/>
          <w:szCs w:val="18"/>
        </w:rPr>
        <w:t>” (2026).</w:t>
      </w:r>
    </w:p>
  </w:footnote>
  <w:footnote w:id="138">
    <w:p w14:paraId="1D7834AE" w14:textId="5CE3E06E"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w:t>
      </w:r>
      <w:r w:rsidR="00855AA5" w:rsidRPr="00570EBF">
        <w:rPr>
          <w:rFonts w:ascii="Arial" w:hAnsi="Arial" w:cs="Arial"/>
          <w:sz w:val="18"/>
          <w:szCs w:val="18"/>
        </w:rPr>
        <w:t>.</w:t>
      </w:r>
    </w:p>
  </w:footnote>
  <w:footnote w:id="139">
    <w:p w14:paraId="2789C1FE" w14:textId="6FA4CCFD"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w:t>
      </w:r>
      <w:r w:rsidR="00855AA5" w:rsidRPr="00570EBF">
        <w:rPr>
          <w:rFonts w:ascii="Arial" w:hAnsi="Arial" w:cs="Arial"/>
          <w:sz w:val="18"/>
          <w:szCs w:val="18"/>
        </w:rPr>
        <w:t>.</w:t>
      </w:r>
    </w:p>
  </w:footnote>
  <w:footnote w:id="140">
    <w:p w14:paraId="6AE3EB63" w14:textId="768F457B"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w:t>
      </w:r>
      <w:hyperlink r:id="rId60" w:history="1">
        <w:r w:rsidRPr="00570EBF">
          <w:rPr>
            <w:rStyle w:val="Hyperlink"/>
            <w:rFonts w:ascii="Arial" w:hAnsi="Arial" w:cs="Arial"/>
            <w:sz w:val="18"/>
            <w:szCs w:val="18"/>
          </w:rPr>
          <w:t>Council of Europe: Convention on Action Against Trafficking in Human Beings</w:t>
        </w:r>
      </w:hyperlink>
      <w:r w:rsidRPr="00570EBF">
        <w:rPr>
          <w:rFonts w:ascii="Arial" w:hAnsi="Arial" w:cs="Arial"/>
          <w:sz w:val="18"/>
          <w:szCs w:val="18"/>
        </w:rPr>
        <w:t>” (</w:t>
      </w:r>
      <w:r w:rsidR="001821E8" w:rsidRPr="00570EBF">
        <w:rPr>
          <w:rFonts w:ascii="Arial" w:hAnsi="Arial" w:cs="Arial"/>
          <w:sz w:val="18"/>
          <w:szCs w:val="18"/>
        </w:rPr>
        <w:t xml:space="preserve">n </w:t>
      </w:r>
      <w:r w:rsidR="001821E8" w:rsidRPr="00570EBF">
        <w:rPr>
          <w:rFonts w:ascii="Arial" w:hAnsi="Arial" w:cs="Arial"/>
          <w:sz w:val="18"/>
          <w:szCs w:val="18"/>
        </w:rPr>
        <w:fldChar w:fldCharType="begin"/>
      </w:r>
      <w:r w:rsidR="001821E8" w:rsidRPr="00570EBF">
        <w:rPr>
          <w:rFonts w:ascii="Arial" w:hAnsi="Arial" w:cs="Arial"/>
          <w:sz w:val="18"/>
          <w:szCs w:val="18"/>
        </w:rPr>
        <w:instrText xml:space="preserve"> NOTEREF _Ref234487085 \h </w:instrText>
      </w:r>
      <w:r w:rsidR="00624A32" w:rsidRPr="00570EBF">
        <w:rPr>
          <w:rFonts w:ascii="Arial" w:hAnsi="Arial" w:cs="Arial"/>
          <w:sz w:val="18"/>
          <w:szCs w:val="18"/>
        </w:rPr>
        <w:instrText xml:space="preserve"> \* MERGEFORMAT </w:instrText>
      </w:r>
      <w:r w:rsidR="001821E8" w:rsidRPr="00570EBF">
        <w:rPr>
          <w:rFonts w:ascii="Arial" w:hAnsi="Arial" w:cs="Arial"/>
          <w:sz w:val="18"/>
          <w:szCs w:val="18"/>
        </w:rPr>
      </w:r>
      <w:r w:rsidR="001821E8" w:rsidRPr="00570EBF">
        <w:rPr>
          <w:rFonts w:ascii="Arial" w:hAnsi="Arial" w:cs="Arial"/>
          <w:sz w:val="18"/>
          <w:szCs w:val="18"/>
        </w:rPr>
        <w:fldChar w:fldCharType="separate"/>
      </w:r>
      <w:r w:rsidR="001821E8" w:rsidRPr="00570EBF">
        <w:rPr>
          <w:rFonts w:ascii="Arial" w:hAnsi="Arial" w:cs="Arial"/>
          <w:sz w:val="18"/>
          <w:szCs w:val="18"/>
        </w:rPr>
        <w:t>124</w:t>
      </w:r>
      <w:r w:rsidR="001821E8" w:rsidRPr="00570EBF">
        <w:rPr>
          <w:rFonts w:ascii="Arial" w:hAnsi="Arial" w:cs="Arial"/>
          <w:sz w:val="18"/>
          <w:szCs w:val="18"/>
        </w:rPr>
        <w:fldChar w:fldCharType="end"/>
      </w:r>
      <w:r w:rsidR="001821E8" w:rsidRPr="00570EBF">
        <w:rPr>
          <w:rFonts w:ascii="Arial" w:hAnsi="Arial" w:cs="Arial"/>
          <w:sz w:val="18"/>
          <w:szCs w:val="18"/>
        </w:rPr>
        <w:t>).</w:t>
      </w:r>
    </w:p>
  </w:footnote>
  <w:footnote w:id="141">
    <w:p w14:paraId="44CA250F" w14:textId="51EE36D2" w:rsidR="00B72413" w:rsidRPr="00570EBF" w:rsidRDefault="00B72413" w:rsidP="00B72413">
      <w:pPr>
        <w:pStyle w:val="FootnoteText"/>
        <w:rPr>
          <w:rFonts w:ascii="Arial" w:hAnsi="Arial" w:cs="Arial"/>
          <w:sz w:val="18"/>
          <w:szCs w:val="18"/>
          <w:lang w:val="en-US"/>
        </w:rPr>
      </w:pPr>
      <w:r w:rsidRPr="00570EBF">
        <w:rPr>
          <w:rStyle w:val="FootnoteReference"/>
          <w:rFonts w:ascii="Arial" w:hAnsi="Arial" w:cs="Arial"/>
          <w:sz w:val="18"/>
          <w:szCs w:val="18"/>
        </w:rPr>
        <w:footnoteRef/>
      </w:r>
      <w:r w:rsidRPr="00570EBF">
        <w:rPr>
          <w:rFonts w:ascii="Arial" w:hAnsi="Arial" w:cs="Arial"/>
          <w:sz w:val="18"/>
          <w:szCs w:val="18"/>
        </w:rPr>
        <w:t xml:space="preserve"> Ibid 23</w:t>
      </w:r>
    </w:p>
  </w:footnote>
  <w:footnote w:id="142">
    <w:p w14:paraId="19FC801A" w14:textId="77777777" w:rsidR="00B72413" w:rsidRPr="00570EBF" w:rsidRDefault="00B72413" w:rsidP="00B72413">
      <w:pPr>
        <w:pStyle w:val="FootnoteText"/>
        <w:rPr>
          <w:rFonts w:ascii="Arial" w:hAnsi="Arial" w:cs="Arial"/>
          <w:sz w:val="18"/>
          <w:szCs w:val="18"/>
        </w:rPr>
      </w:pPr>
      <w:r w:rsidRPr="00570EBF">
        <w:rPr>
          <w:rStyle w:val="FootnoteReference"/>
          <w:rFonts w:ascii="Arial" w:hAnsi="Arial" w:cs="Arial"/>
          <w:sz w:val="18"/>
          <w:szCs w:val="18"/>
        </w:rPr>
        <w:footnoteRef/>
      </w:r>
      <w:r w:rsidRPr="00570EBF">
        <w:rPr>
          <w:rFonts w:ascii="Arial" w:hAnsi="Arial" w:cs="Arial"/>
          <w:sz w:val="18"/>
          <w:szCs w:val="18"/>
        </w:rPr>
        <w:t xml:space="preserve"> Conseil de </w:t>
      </w:r>
      <w:proofErr w:type="spellStart"/>
      <w:r w:rsidRPr="00570EBF">
        <w:rPr>
          <w:rFonts w:ascii="Arial" w:hAnsi="Arial" w:cs="Arial"/>
          <w:sz w:val="18"/>
          <w:szCs w:val="18"/>
        </w:rPr>
        <w:t>l’Europe</w:t>
      </w:r>
      <w:proofErr w:type="spellEnd"/>
      <w:r w:rsidRPr="00570EBF">
        <w:rPr>
          <w:rFonts w:ascii="Arial" w:hAnsi="Arial" w:cs="Arial"/>
          <w:sz w:val="18"/>
          <w:szCs w:val="18"/>
        </w:rPr>
        <w:t xml:space="preserve">, “CETS 197 - </w:t>
      </w:r>
      <w:hyperlink r:id="rId61" w:history="1">
        <w:r w:rsidRPr="00570EBF">
          <w:rPr>
            <w:rStyle w:val="Hyperlink"/>
            <w:rFonts w:ascii="Arial" w:hAnsi="Arial" w:cs="Arial"/>
            <w:sz w:val="18"/>
            <w:szCs w:val="18"/>
          </w:rPr>
          <w:t>Explanatory Report to the Council of Europe Convention on Action against Trafficking in Human Beings</w:t>
        </w:r>
      </w:hyperlink>
      <w:r w:rsidRPr="00570EBF">
        <w:rPr>
          <w:rFonts w:ascii="Arial" w:hAnsi="Arial" w:cs="Arial"/>
          <w:sz w:val="18"/>
          <w:szCs w:val="18"/>
        </w:rPr>
        <w:t xml:space="preserve">” (2015). </w:t>
      </w:r>
    </w:p>
    <w:p w14:paraId="06CB1C26" w14:textId="77777777" w:rsidR="00B72413" w:rsidRPr="00570EBF" w:rsidRDefault="00B72413" w:rsidP="00B72413">
      <w:pPr>
        <w:pStyle w:val="FootnoteText"/>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A0C3" w14:textId="5B011506" w:rsidR="462010AA" w:rsidRDefault="462010AA" w:rsidP="462010AA">
    <w:pPr>
      <w:pStyle w:val="Header"/>
    </w:pPr>
  </w:p>
  <w:p w14:paraId="5C010E50" w14:textId="075F315D" w:rsidR="649E4C47" w:rsidRDefault="462010AA" w:rsidP="649E4C47">
    <w:pPr>
      <w:pStyle w:val="Header"/>
    </w:pPr>
    <w:r>
      <w:rPr>
        <w:noProof/>
      </w:rPr>
      <w:drawing>
        <wp:anchor distT="0" distB="0" distL="114300" distR="114300" simplePos="0" relativeHeight="251658240" behindDoc="1" locked="0" layoutInCell="1" allowOverlap="1" wp14:anchorId="6A504726" wp14:editId="5245FEBB">
          <wp:simplePos x="0" y="0"/>
          <wp:positionH relativeFrom="column">
            <wp:posOffset>4333875</wp:posOffset>
          </wp:positionH>
          <wp:positionV relativeFrom="paragraph">
            <wp:posOffset>-476250</wp:posOffset>
          </wp:positionV>
          <wp:extent cx="1360805" cy="724098"/>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60805" cy="724098"/>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7EF"/>
    <w:multiLevelType w:val="hybridMultilevel"/>
    <w:tmpl w:val="3ECC798A"/>
    <w:lvl w:ilvl="0" w:tplc="1B98F2AC">
      <w:start w:val="1"/>
      <w:numFmt w:val="decimal"/>
      <w:lvlText w:val="%1."/>
      <w:lvlJc w:val="left"/>
      <w:pPr>
        <w:ind w:left="450" w:hanging="360"/>
      </w:pPr>
      <w:rPr>
        <w:lang w:val="en-GB"/>
      </w:rPr>
    </w:lvl>
    <w:lvl w:ilvl="1" w:tplc="C2F854C6">
      <w:numFmt w:val="decimal"/>
      <w:lvlText w:val=""/>
      <w:lvlJc w:val="left"/>
    </w:lvl>
    <w:lvl w:ilvl="2" w:tplc="979808C2">
      <w:numFmt w:val="decimal"/>
      <w:lvlText w:val=""/>
      <w:lvlJc w:val="left"/>
    </w:lvl>
    <w:lvl w:ilvl="3" w:tplc="51DE09BC">
      <w:numFmt w:val="decimal"/>
      <w:lvlText w:val=""/>
      <w:lvlJc w:val="left"/>
    </w:lvl>
    <w:lvl w:ilvl="4" w:tplc="E17C0C98">
      <w:numFmt w:val="decimal"/>
      <w:lvlText w:val=""/>
      <w:lvlJc w:val="left"/>
    </w:lvl>
    <w:lvl w:ilvl="5" w:tplc="A4BEAC0E">
      <w:numFmt w:val="decimal"/>
      <w:lvlText w:val=""/>
      <w:lvlJc w:val="left"/>
    </w:lvl>
    <w:lvl w:ilvl="6" w:tplc="2A963F36">
      <w:numFmt w:val="decimal"/>
      <w:lvlText w:val=""/>
      <w:lvlJc w:val="left"/>
    </w:lvl>
    <w:lvl w:ilvl="7" w:tplc="44B4062E">
      <w:numFmt w:val="decimal"/>
      <w:lvlText w:val=""/>
      <w:lvlJc w:val="left"/>
    </w:lvl>
    <w:lvl w:ilvl="8" w:tplc="947CF7F6">
      <w:numFmt w:val="decimal"/>
      <w:lvlText w:val=""/>
      <w:lvlJc w:val="left"/>
    </w:lvl>
  </w:abstractNum>
  <w:abstractNum w:abstractNumId="1" w15:restartNumberingAfterBreak="0">
    <w:nsid w:val="0E1C7196"/>
    <w:multiLevelType w:val="multilevel"/>
    <w:tmpl w:val="C89CA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F3AC3"/>
    <w:multiLevelType w:val="hybridMultilevel"/>
    <w:tmpl w:val="B5064D76"/>
    <w:lvl w:ilvl="0" w:tplc="273A30B6">
      <w:start w:val="1"/>
      <w:numFmt w:val="decimal"/>
      <w:lvlText w:val="%1."/>
      <w:lvlJc w:val="left"/>
      <w:pPr>
        <w:ind w:left="720" w:hanging="360"/>
      </w:pPr>
      <w:rPr>
        <w:rFonts w:ascii="Arial" w:hAnsi="Arial" w:cs="Arial" w:hint="default"/>
        <w:b w:val="0"/>
        <w:bCs/>
        <w:color w:val="0000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F277D"/>
    <w:multiLevelType w:val="hybridMultilevel"/>
    <w:tmpl w:val="F1062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E211AF"/>
    <w:multiLevelType w:val="hybridMultilevel"/>
    <w:tmpl w:val="1A3273DC"/>
    <w:lvl w:ilvl="0" w:tplc="24843EDA">
      <w:start w:val="1"/>
      <w:numFmt w:val="bullet"/>
      <w:lvlText w:val="●"/>
      <w:lvlJc w:val="left"/>
      <w:pPr>
        <w:ind w:left="720" w:hanging="360"/>
      </w:pPr>
    </w:lvl>
    <w:lvl w:ilvl="1" w:tplc="B6463968">
      <w:start w:val="1"/>
      <w:numFmt w:val="bullet"/>
      <w:lvlText w:val="○"/>
      <w:lvlJc w:val="left"/>
      <w:pPr>
        <w:ind w:left="1440" w:hanging="360"/>
      </w:pPr>
    </w:lvl>
    <w:lvl w:ilvl="2" w:tplc="B5C6D9D2">
      <w:start w:val="1"/>
      <w:numFmt w:val="bullet"/>
      <w:lvlText w:val="■"/>
      <w:lvlJc w:val="left"/>
      <w:pPr>
        <w:ind w:left="2160" w:hanging="360"/>
      </w:pPr>
    </w:lvl>
    <w:lvl w:ilvl="3" w:tplc="015C6F9E">
      <w:start w:val="1"/>
      <w:numFmt w:val="bullet"/>
      <w:lvlText w:val="●"/>
      <w:lvlJc w:val="left"/>
      <w:pPr>
        <w:ind w:left="2880" w:hanging="360"/>
      </w:pPr>
    </w:lvl>
    <w:lvl w:ilvl="4" w:tplc="95402020">
      <w:start w:val="1"/>
      <w:numFmt w:val="bullet"/>
      <w:lvlText w:val="○"/>
      <w:lvlJc w:val="left"/>
      <w:pPr>
        <w:ind w:left="3600" w:hanging="360"/>
      </w:pPr>
    </w:lvl>
    <w:lvl w:ilvl="5" w:tplc="DE76DBEE">
      <w:start w:val="1"/>
      <w:numFmt w:val="bullet"/>
      <w:lvlText w:val="■"/>
      <w:lvlJc w:val="left"/>
      <w:pPr>
        <w:ind w:left="4320" w:hanging="360"/>
      </w:pPr>
    </w:lvl>
    <w:lvl w:ilvl="6" w:tplc="C8167758">
      <w:start w:val="1"/>
      <w:numFmt w:val="bullet"/>
      <w:lvlText w:val="●"/>
      <w:lvlJc w:val="left"/>
      <w:pPr>
        <w:ind w:left="5040" w:hanging="360"/>
      </w:pPr>
    </w:lvl>
    <w:lvl w:ilvl="7" w:tplc="D0D05CD8">
      <w:start w:val="1"/>
      <w:numFmt w:val="bullet"/>
      <w:lvlText w:val="●"/>
      <w:lvlJc w:val="left"/>
      <w:pPr>
        <w:ind w:left="5760" w:hanging="360"/>
      </w:pPr>
    </w:lvl>
    <w:lvl w:ilvl="8" w:tplc="3B989AC0">
      <w:start w:val="1"/>
      <w:numFmt w:val="bullet"/>
      <w:lvlText w:val="●"/>
      <w:lvlJc w:val="left"/>
      <w:pPr>
        <w:ind w:left="6480" w:hanging="360"/>
      </w:pPr>
    </w:lvl>
  </w:abstractNum>
  <w:abstractNum w:abstractNumId="5" w15:restartNumberingAfterBreak="0">
    <w:nsid w:val="1B2806C2"/>
    <w:multiLevelType w:val="multilevel"/>
    <w:tmpl w:val="BE9C1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6A23CA"/>
    <w:multiLevelType w:val="hybridMultilevel"/>
    <w:tmpl w:val="EABA62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152860"/>
    <w:multiLevelType w:val="hybridMultilevel"/>
    <w:tmpl w:val="B03C9812"/>
    <w:lvl w:ilvl="0" w:tplc="502AD3FA">
      <w:start w:val="106"/>
      <w:numFmt w:val="decimal"/>
      <w:lvlText w:val="%1."/>
      <w:lvlJc w:val="left"/>
      <w:pPr>
        <w:ind w:left="510" w:hanging="420"/>
      </w:pPr>
      <w:rPr>
        <w:rFonts w:hint="default"/>
        <w:b w:val="0"/>
        <w:bCs w:val="0"/>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8" w15:restartNumberingAfterBreak="0">
    <w:nsid w:val="2AB5293F"/>
    <w:multiLevelType w:val="hybridMultilevel"/>
    <w:tmpl w:val="483EFAAE"/>
    <w:lvl w:ilvl="0" w:tplc="6ABE669C">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D1CE3"/>
    <w:multiLevelType w:val="multilevel"/>
    <w:tmpl w:val="B9D4B1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1027D"/>
    <w:multiLevelType w:val="multilevel"/>
    <w:tmpl w:val="5F2A6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A349C3"/>
    <w:multiLevelType w:val="multilevel"/>
    <w:tmpl w:val="20522A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80815"/>
    <w:multiLevelType w:val="hybridMultilevel"/>
    <w:tmpl w:val="D1B6E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85E43"/>
    <w:multiLevelType w:val="multilevel"/>
    <w:tmpl w:val="092E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F47B16"/>
    <w:multiLevelType w:val="hybridMultilevel"/>
    <w:tmpl w:val="467A4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5D4F7E"/>
    <w:multiLevelType w:val="hybridMultilevel"/>
    <w:tmpl w:val="BBD0AC9A"/>
    <w:lvl w:ilvl="0" w:tplc="243ED648">
      <w:start w:val="1"/>
      <w:numFmt w:val="decimal"/>
      <w:lvlText w:val="%1."/>
      <w:lvlJc w:val="left"/>
      <w:pPr>
        <w:ind w:left="453" w:hanging="245"/>
      </w:pPr>
      <w:rPr>
        <w:rFonts w:ascii="Arial" w:eastAsia="Arial" w:hAnsi="Arial" w:cs="Arial" w:hint="default"/>
        <w:b w:val="0"/>
        <w:bCs w:val="0"/>
        <w:i w:val="0"/>
        <w:iCs w:val="0"/>
        <w:spacing w:val="0"/>
        <w:w w:val="100"/>
        <w:sz w:val="22"/>
        <w:szCs w:val="22"/>
        <w:lang w:val="en-US" w:eastAsia="en-US" w:bidi="ar-SA"/>
      </w:rPr>
    </w:lvl>
    <w:lvl w:ilvl="1" w:tplc="49221498">
      <w:numFmt w:val="bullet"/>
      <w:lvlText w:val="•"/>
      <w:lvlJc w:val="left"/>
      <w:pPr>
        <w:ind w:left="1321" w:hanging="245"/>
      </w:pPr>
      <w:rPr>
        <w:rFonts w:hint="default"/>
        <w:lang w:val="en-US" w:eastAsia="en-US" w:bidi="ar-SA"/>
      </w:rPr>
    </w:lvl>
    <w:lvl w:ilvl="2" w:tplc="6FBCD96E">
      <w:numFmt w:val="bullet"/>
      <w:lvlText w:val="•"/>
      <w:lvlJc w:val="left"/>
      <w:pPr>
        <w:ind w:left="2182" w:hanging="245"/>
      </w:pPr>
      <w:rPr>
        <w:rFonts w:hint="default"/>
        <w:lang w:val="en-US" w:eastAsia="en-US" w:bidi="ar-SA"/>
      </w:rPr>
    </w:lvl>
    <w:lvl w:ilvl="3" w:tplc="FD206A92">
      <w:numFmt w:val="bullet"/>
      <w:lvlText w:val="•"/>
      <w:lvlJc w:val="left"/>
      <w:pPr>
        <w:ind w:left="3043" w:hanging="245"/>
      </w:pPr>
      <w:rPr>
        <w:rFonts w:hint="default"/>
        <w:lang w:val="en-US" w:eastAsia="en-US" w:bidi="ar-SA"/>
      </w:rPr>
    </w:lvl>
    <w:lvl w:ilvl="4" w:tplc="EF2853A4">
      <w:numFmt w:val="bullet"/>
      <w:lvlText w:val="•"/>
      <w:lvlJc w:val="left"/>
      <w:pPr>
        <w:ind w:left="3904" w:hanging="245"/>
      </w:pPr>
      <w:rPr>
        <w:rFonts w:hint="default"/>
        <w:lang w:val="en-US" w:eastAsia="en-US" w:bidi="ar-SA"/>
      </w:rPr>
    </w:lvl>
    <w:lvl w:ilvl="5" w:tplc="25F6C43E">
      <w:numFmt w:val="bullet"/>
      <w:lvlText w:val="•"/>
      <w:lvlJc w:val="left"/>
      <w:pPr>
        <w:ind w:left="4766" w:hanging="245"/>
      </w:pPr>
      <w:rPr>
        <w:rFonts w:hint="default"/>
        <w:lang w:val="en-US" w:eastAsia="en-US" w:bidi="ar-SA"/>
      </w:rPr>
    </w:lvl>
    <w:lvl w:ilvl="6" w:tplc="1F44F984">
      <w:numFmt w:val="bullet"/>
      <w:lvlText w:val="•"/>
      <w:lvlJc w:val="left"/>
      <w:pPr>
        <w:ind w:left="5627" w:hanging="245"/>
      </w:pPr>
      <w:rPr>
        <w:rFonts w:hint="default"/>
        <w:lang w:val="en-US" w:eastAsia="en-US" w:bidi="ar-SA"/>
      </w:rPr>
    </w:lvl>
    <w:lvl w:ilvl="7" w:tplc="D1B0D1F6">
      <w:numFmt w:val="bullet"/>
      <w:lvlText w:val="•"/>
      <w:lvlJc w:val="left"/>
      <w:pPr>
        <w:ind w:left="6488" w:hanging="245"/>
      </w:pPr>
      <w:rPr>
        <w:rFonts w:hint="default"/>
        <w:lang w:val="en-US" w:eastAsia="en-US" w:bidi="ar-SA"/>
      </w:rPr>
    </w:lvl>
    <w:lvl w:ilvl="8" w:tplc="422CF86C">
      <w:numFmt w:val="bullet"/>
      <w:lvlText w:val="•"/>
      <w:lvlJc w:val="left"/>
      <w:pPr>
        <w:ind w:left="7349" w:hanging="245"/>
      </w:pPr>
      <w:rPr>
        <w:rFonts w:hint="default"/>
        <w:lang w:val="en-US" w:eastAsia="en-US" w:bidi="ar-SA"/>
      </w:rPr>
    </w:lvl>
  </w:abstractNum>
  <w:abstractNum w:abstractNumId="16" w15:restartNumberingAfterBreak="0">
    <w:nsid w:val="6FF73319"/>
    <w:multiLevelType w:val="hybridMultilevel"/>
    <w:tmpl w:val="EABA6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CA20E7"/>
    <w:multiLevelType w:val="hybridMultilevel"/>
    <w:tmpl w:val="0122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6252408">
    <w:abstractNumId w:val="16"/>
  </w:num>
  <w:num w:numId="2" w16cid:durableId="628973567">
    <w:abstractNumId w:val="4"/>
    <w:lvlOverride w:ilvl="0">
      <w:startOverride w:val="1"/>
    </w:lvlOverride>
  </w:num>
  <w:num w:numId="3" w16cid:durableId="98836137">
    <w:abstractNumId w:val="8"/>
  </w:num>
  <w:num w:numId="4" w16cid:durableId="1675523920">
    <w:abstractNumId w:val="1"/>
  </w:num>
  <w:num w:numId="5" w16cid:durableId="69930102">
    <w:abstractNumId w:val="5"/>
  </w:num>
  <w:num w:numId="6" w16cid:durableId="158740347">
    <w:abstractNumId w:val="10"/>
  </w:num>
  <w:num w:numId="7" w16cid:durableId="1347055010">
    <w:abstractNumId w:val="11"/>
  </w:num>
  <w:num w:numId="8" w16cid:durableId="445126534">
    <w:abstractNumId w:val="9"/>
  </w:num>
  <w:num w:numId="9" w16cid:durableId="1897668207">
    <w:abstractNumId w:val="0"/>
    <w:lvlOverride w:ilvl="0">
      <w:startOverride w:val="1"/>
    </w:lvlOverride>
  </w:num>
  <w:num w:numId="10" w16cid:durableId="1723552816">
    <w:abstractNumId w:val="3"/>
  </w:num>
  <w:num w:numId="11" w16cid:durableId="1385300151">
    <w:abstractNumId w:val="2"/>
  </w:num>
  <w:num w:numId="12" w16cid:durableId="875124668">
    <w:abstractNumId w:val="6"/>
  </w:num>
  <w:num w:numId="13" w16cid:durableId="71851740">
    <w:abstractNumId w:val="13"/>
  </w:num>
  <w:num w:numId="14" w16cid:durableId="1131708219">
    <w:abstractNumId w:val="0"/>
  </w:num>
  <w:num w:numId="15" w16cid:durableId="996760605">
    <w:abstractNumId w:val="7"/>
  </w:num>
  <w:num w:numId="16" w16cid:durableId="75639867">
    <w:abstractNumId w:val="17"/>
  </w:num>
  <w:num w:numId="17" w16cid:durableId="191699029">
    <w:abstractNumId w:val="14"/>
  </w:num>
  <w:num w:numId="18" w16cid:durableId="1140879910">
    <w:abstractNumId w:val="12"/>
  </w:num>
  <w:num w:numId="19" w16cid:durableId="12198278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71"/>
    <w:rsid w:val="0000086D"/>
    <w:rsid w:val="00003127"/>
    <w:rsid w:val="00005499"/>
    <w:rsid w:val="00007140"/>
    <w:rsid w:val="000073D7"/>
    <w:rsid w:val="0000747B"/>
    <w:rsid w:val="0001105A"/>
    <w:rsid w:val="00011EA5"/>
    <w:rsid w:val="000133FE"/>
    <w:rsid w:val="00014218"/>
    <w:rsid w:val="00016400"/>
    <w:rsid w:val="0001669E"/>
    <w:rsid w:val="00021589"/>
    <w:rsid w:val="00021BB8"/>
    <w:rsid w:val="00021E4F"/>
    <w:rsid w:val="00022BFC"/>
    <w:rsid w:val="00023216"/>
    <w:rsid w:val="00024558"/>
    <w:rsid w:val="00024A44"/>
    <w:rsid w:val="00026580"/>
    <w:rsid w:val="000308CB"/>
    <w:rsid w:val="00032C26"/>
    <w:rsid w:val="000353D6"/>
    <w:rsid w:val="00035506"/>
    <w:rsid w:val="000363C5"/>
    <w:rsid w:val="000368EC"/>
    <w:rsid w:val="0003716D"/>
    <w:rsid w:val="00041221"/>
    <w:rsid w:val="000413A8"/>
    <w:rsid w:val="00041AE3"/>
    <w:rsid w:val="0004219C"/>
    <w:rsid w:val="00042FCA"/>
    <w:rsid w:val="00043974"/>
    <w:rsid w:val="00044166"/>
    <w:rsid w:val="00045066"/>
    <w:rsid w:val="00050193"/>
    <w:rsid w:val="00050414"/>
    <w:rsid w:val="00051794"/>
    <w:rsid w:val="0005183F"/>
    <w:rsid w:val="00052C63"/>
    <w:rsid w:val="00052FD5"/>
    <w:rsid w:val="00053220"/>
    <w:rsid w:val="000536C7"/>
    <w:rsid w:val="000540FA"/>
    <w:rsid w:val="00054D45"/>
    <w:rsid w:val="00056535"/>
    <w:rsid w:val="0006178B"/>
    <w:rsid w:val="00063872"/>
    <w:rsid w:val="000645BE"/>
    <w:rsid w:val="000651AC"/>
    <w:rsid w:val="000657DF"/>
    <w:rsid w:val="00067426"/>
    <w:rsid w:val="00067F72"/>
    <w:rsid w:val="000701E7"/>
    <w:rsid w:val="00070CE8"/>
    <w:rsid w:val="00073714"/>
    <w:rsid w:val="0007581C"/>
    <w:rsid w:val="000764B0"/>
    <w:rsid w:val="00076885"/>
    <w:rsid w:val="00081B5F"/>
    <w:rsid w:val="000823A5"/>
    <w:rsid w:val="000853D7"/>
    <w:rsid w:val="000863AB"/>
    <w:rsid w:val="00086B61"/>
    <w:rsid w:val="00090F29"/>
    <w:rsid w:val="0009147E"/>
    <w:rsid w:val="00091C55"/>
    <w:rsid w:val="00094D1D"/>
    <w:rsid w:val="00096F2B"/>
    <w:rsid w:val="000A0B2B"/>
    <w:rsid w:val="000A250E"/>
    <w:rsid w:val="000A265B"/>
    <w:rsid w:val="000A2D42"/>
    <w:rsid w:val="000A4872"/>
    <w:rsid w:val="000A4D63"/>
    <w:rsid w:val="000B06DF"/>
    <w:rsid w:val="000B0CF7"/>
    <w:rsid w:val="000B10B7"/>
    <w:rsid w:val="000B114D"/>
    <w:rsid w:val="000B1954"/>
    <w:rsid w:val="000B20CD"/>
    <w:rsid w:val="000B671F"/>
    <w:rsid w:val="000B7B26"/>
    <w:rsid w:val="000C081D"/>
    <w:rsid w:val="000C0C97"/>
    <w:rsid w:val="000C188E"/>
    <w:rsid w:val="000C1FC4"/>
    <w:rsid w:val="000C23B6"/>
    <w:rsid w:val="000C33CF"/>
    <w:rsid w:val="000C581E"/>
    <w:rsid w:val="000C5B96"/>
    <w:rsid w:val="000C5F33"/>
    <w:rsid w:val="000D09AF"/>
    <w:rsid w:val="000D1B2B"/>
    <w:rsid w:val="000D3AEF"/>
    <w:rsid w:val="000D3B90"/>
    <w:rsid w:val="000D4EF3"/>
    <w:rsid w:val="000D64F8"/>
    <w:rsid w:val="000E1030"/>
    <w:rsid w:val="000E1119"/>
    <w:rsid w:val="000E2226"/>
    <w:rsid w:val="000E330B"/>
    <w:rsid w:val="000E48A1"/>
    <w:rsid w:val="000E4D68"/>
    <w:rsid w:val="000E4E21"/>
    <w:rsid w:val="000E4FF9"/>
    <w:rsid w:val="000F07C3"/>
    <w:rsid w:val="000F0EA5"/>
    <w:rsid w:val="000F0EED"/>
    <w:rsid w:val="000F255D"/>
    <w:rsid w:val="000F2F09"/>
    <w:rsid w:val="000F2FBD"/>
    <w:rsid w:val="000F5F1A"/>
    <w:rsid w:val="00100B25"/>
    <w:rsid w:val="001017BF"/>
    <w:rsid w:val="00101E87"/>
    <w:rsid w:val="00102F62"/>
    <w:rsid w:val="00103895"/>
    <w:rsid w:val="00103B90"/>
    <w:rsid w:val="00105150"/>
    <w:rsid w:val="00105261"/>
    <w:rsid w:val="00106A6C"/>
    <w:rsid w:val="00106D74"/>
    <w:rsid w:val="001072A2"/>
    <w:rsid w:val="00107C39"/>
    <w:rsid w:val="0011066E"/>
    <w:rsid w:val="001129A5"/>
    <w:rsid w:val="00114022"/>
    <w:rsid w:val="0012054C"/>
    <w:rsid w:val="00120C2D"/>
    <w:rsid w:val="00121289"/>
    <w:rsid w:val="0012159C"/>
    <w:rsid w:val="00122580"/>
    <w:rsid w:val="0012270E"/>
    <w:rsid w:val="00124693"/>
    <w:rsid w:val="00125874"/>
    <w:rsid w:val="0012704E"/>
    <w:rsid w:val="001304A1"/>
    <w:rsid w:val="001308F7"/>
    <w:rsid w:val="001328A0"/>
    <w:rsid w:val="001349EB"/>
    <w:rsid w:val="00135EFD"/>
    <w:rsid w:val="001379FF"/>
    <w:rsid w:val="00140E94"/>
    <w:rsid w:val="001430C2"/>
    <w:rsid w:val="00144324"/>
    <w:rsid w:val="00144B38"/>
    <w:rsid w:val="00145FF6"/>
    <w:rsid w:val="0014664D"/>
    <w:rsid w:val="00146C53"/>
    <w:rsid w:val="0015013B"/>
    <w:rsid w:val="001534AD"/>
    <w:rsid w:val="00155F9C"/>
    <w:rsid w:val="001569BE"/>
    <w:rsid w:val="00161D1C"/>
    <w:rsid w:val="00162609"/>
    <w:rsid w:val="00163C05"/>
    <w:rsid w:val="00164E4C"/>
    <w:rsid w:val="0017053A"/>
    <w:rsid w:val="00170D6C"/>
    <w:rsid w:val="00171037"/>
    <w:rsid w:val="0017398C"/>
    <w:rsid w:val="00173BBA"/>
    <w:rsid w:val="001742E4"/>
    <w:rsid w:val="00174C00"/>
    <w:rsid w:val="001756C2"/>
    <w:rsid w:val="00176A85"/>
    <w:rsid w:val="00181E3E"/>
    <w:rsid w:val="001821E8"/>
    <w:rsid w:val="001834FB"/>
    <w:rsid w:val="001849DE"/>
    <w:rsid w:val="00184DE2"/>
    <w:rsid w:val="001864DF"/>
    <w:rsid w:val="00186E1D"/>
    <w:rsid w:val="00187171"/>
    <w:rsid w:val="00187370"/>
    <w:rsid w:val="001924C7"/>
    <w:rsid w:val="00193390"/>
    <w:rsid w:val="0019605D"/>
    <w:rsid w:val="001A0E4B"/>
    <w:rsid w:val="001A13D6"/>
    <w:rsid w:val="001A3D42"/>
    <w:rsid w:val="001A4060"/>
    <w:rsid w:val="001A4D28"/>
    <w:rsid w:val="001A67EC"/>
    <w:rsid w:val="001A6FA6"/>
    <w:rsid w:val="001A73A4"/>
    <w:rsid w:val="001B0195"/>
    <w:rsid w:val="001B08BF"/>
    <w:rsid w:val="001B0E35"/>
    <w:rsid w:val="001B17E6"/>
    <w:rsid w:val="001B21C5"/>
    <w:rsid w:val="001B3885"/>
    <w:rsid w:val="001B4185"/>
    <w:rsid w:val="001B41EC"/>
    <w:rsid w:val="001B4729"/>
    <w:rsid w:val="001B4A6E"/>
    <w:rsid w:val="001B51F5"/>
    <w:rsid w:val="001B5965"/>
    <w:rsid w:val="001B71FF"/>
    <w:rsid w:val="001B7E02"/>
    <w:rsid w:val="001B7E58"/>
    <w:rsid w:val="001C1579"/>
    <w:rsid w:val="001C4972"/>
    <w:rsid w:val="001C50A8"/>
    <w:rsid w:val="001C6470"/>
    <w:rsid w:val="001D0955"/>
    <w:rsid w:val="001D2874"/>
    <w:rsid w:val="001D3B88"/>
    <w:rsid w:val="001D3EEB"/>
    <w:rsid w:val="001D3F40"/>
    <w:rsid w:val="001D7823"/>
    <w:rsid w:val="001E096A"/>
    <w:rsid w:val="001E0ADD"/>
    <w:rsid w:val="001E12B9"/>
    <w:rsid w:val="001E1667"/>
    <w:rsid w:val="001E1BE2"/>
    <w:rsid w:val="001E2C13"/>
    <w:rsid w:val="001E314E"/>
    <w:rsid w:val="001E4729"/>
    <w:rsid w:val="001E5162"/>
    <w:rsid w:val="001E7E06"/>
    <w:rsid w:val="001F0F1A"/>
    <w:rsid w:val="001F301D"/>
    <w:rsid w:val="001F5A14"/>
    <w:rsid w:val="001F6FA9"/>
    <w:rsid w:val="00201946"/>
    <w:rsid w:val="0020351A"/>
    <w:rsid w:val="00204304"/>
    <w:rsid w:val="00205410"/>
    <w:rsid w:val="00206274"/>
    <w:rsid w:val="00206F3C"/>
    <w:rsid w:val="00207460"/>
    <w:rsid w:val="002079C5"/>
    <w:rsid w:val="0021117A"/>
    <w:rsid w:val="0021713E"/>
    <w:rsid w:val="00217873"/>
    <w:rsid w:val="0022457F"/>
    <w:rsid w:val="00225D16"/>
    <w:rsid w:val="00226C66"/>
    <w:rsid w:val="00227F37"/>
    <w:rsid w:val="00233022"/>
    <w:rsid w:val="00235CE0"/>
    <w:rsid w:val="0023710F"/>
    <w:rsid w:val="00237160"/>
    <w:rsid w:val="002379A6"/>
    <w:rsid w:val="002409CC"/>
    <w:rsid w:val="002430BB"/>
    <w:rsid w:val="0024396F"/>
    <w:rsid w:val="00244383"/>
    <w:rsid w:val="002451B5"/>
    <w:rsid w:val="00245CA6"/>
    <w:rsid w:val="00245E39"/>
    <w:rsid w:val="00250193"/>
    <w:rsid w:val="0025223B"/>
    <w:rsid w:val="002531A0"/>
    <w:rsid w:val="002534C2"/>
    <w:rsid w:val="0025402D"/>
    <w:rsid w:val="0025731D"/>
    <w:rsid w:val="00262711"/>
    <w:rsid w:val="00264AD5"/>
    <w:rsid w:val="00265899"/>
    <w:rsid w:val="00267593"/>
    <w:rsid w:val="0026783C"/>
    <w:rsid w:val="00272232"/>
    <w:rsid w:val="00274A55"/>
    <w:rsid w:val="002762B8"/>
    <w:rsid w:val="0027790E"/>
    <w:rsid w:val="00281768"/>
    <w:rsid w:val="00281BCB"/>
    <w:rsid w:val="00281D32"/>
    <w:rsid w:val="002835A0"/>
    <w:rsid w:val="00286B14"/>
    <w:rsid w:val="00287C7C"/>
    <w:rsid w:val="00287F21"/>
    <w:rsid w:val="00290917"/>
    <w:rsid w:val="00291E58"/>
    <w:rsid w:val="00292EE7"/>
    <w:rsid w:val="00292F9B"/>
    <w:rsid w:val="0029558F"/>
    <w:rsid w:val="00297F86"/>
    <w:rsid w:val="002A0511"/>
    <w:rsid w:val="002A109A"/>
    <w:rsid w:val="002A4E92"/>
    <w:rsid w:val="002A7005"/>
    <w:rsid w:val="002B4ED4"/>
    <w:rsid w:val="002B5317"/>
    <w:rsid w:val="002B69CD"/>
    <w:rsid w:val="002B721B"/>
    <w:rsid w:val="002B7A6B"/>
    <w:rsid w:val="002C01A9"/>
    <w:rsid w:val="002C099D"/>
    <w:rsid w:val="002C13EC"/>
    <w:rsid w:val="002C149D"/>
    <w:rsid w:val="002C6F5A"/>
    <w:rsid w:val="002C7B29"/>
    <w:rsid w:val="002D0260"/>
    <w:rsid w:val="002D0BD8"/>
    <w:rsid w:val="002D0C9C"/>
    <w:rsid w:val="002D173A"/>
    <w:rsid w:val="002D3CBE"/>
    <w:rsid w:val="002D4748"/>
    <w:rsid w:val="002D4C4F"/>
    <w:rsid w:val="002D5063"/>
    <w:rsid w:val="002D737B"/>
    <w:rsid w:val="002E0A78"/>
    <w:rsid w:val="002E1969"/>
    <w:rsid w:val="002E30B4"/>
    <w:rsid w:val="002E318E"/>
    <w:rsid w:val="002E4E0E"/>
    <w:rsid w:val="002E4F4C"/>
    <w:rsid w:val="002F0333"/>
    <w:rsid w:val="002F107C"/>
    <w:rsid w:val="002F4A7F"/>
    <w:rsid w:val="002F79E2"/>
    <w:rsid w:val="0030234D"/>
    <w:rsid w:val="003040BC"/>
    <w:rsid w:val="00310959"/>
    <w:rsid w:val="003119E0"/>
    <w:rsid w:val="00312B96"/>
    <w:rsid w:val="00313F12"/>
    <w:rsid w:val="0031411A"/>
    <w:rsid w:val="003167E7"/>
    <w:rsid w:val="003274DA"/>
    <w:rsid w:val="003275CF"/>
    <w:rsid w:val="0033139A"/>
    <w:rsid w:val="003324F5"/>
    <w:rsid w:val="00333509"/>
    <w:rsid w:val="00334169"/>
    <w:rsid w:val="00336806"/>
    <w:rsid w:val="00336A31"/>
    <w:rsid w:val="00337922"/>
    <w:rsid w:val="003405D5"/>
    <w:rsid w:val="00341FED"/>
    <w:rsid w:val="0034215D"/>
    <w:rsid w:val="003429B7"/>
    <w:rsid w:val="00342E4A"/>
    <w:rsid w:val="00343AB5"/>
    <w:rsid w:val="00345673"/>
    <w:rsid w:val="00345B57"/>
    <w:rsid w:val="00345CB1"/>
    <w:rsid w:val="00345E0D"/>
    <w:rsid w:val="00347650"/>
    <w:rsid w:val="00347894"/>
    <w:rsid w:val="003511B2"/>
    <w:rsid w:val="00351DA7"/>
    <w:rsid w:val="0035319C"/>
    <w:rsid w:val="00355B60"/>
    <w:rsid w:val="00357062"/>
    <w:rsid w:val="00360086"/>
    <w:rsid w:val="00360C16"/>
    <w:rsid w:val="003610D8"/>
    <w:rsid w:val="00361736"/>
    <w:rsid w:val="00363EC3"/>
    <w:rsid w:val="00364F81"/>
    <w:rsid w:val="00365D36"/>
    <w:rsid w:val="003676EB"/>
    <w:rsid w:val="00370041"/>
    <w:rsid w:val="0037100D"/>
    <w:rsid w:val="0037284B"/>
    <w:rsid w:val="00372C4E"/>
    <w:rsid w:val="003730F6"/>
    <w:rsid w:val="00373FA5"/>
    <w:rsid w:val="0037477F"/>
    <w:rsid w:val="00380326"/>
    <w:rsid w:val="00382AC6"/>
    <w:rsid w:val="003862EB"/>
    <w:rsid w:val="0038743A"/>
    <w:rsid w:val="003926AE"/>
    <w:rsid w:val="003931A9"/>
    <w:rsid w:val="00393970"/>
    <w:rsid w:val="00395AE1"/>
    <w:rsid w:val="003A04AB"/>
    <w:rsid w:val="003A0793"/>
    <w:rsid w:val="003A0A14"/>
    <w:rsid w:val="003A0F7E"/>
    <w:rsid w:val="003A21D6"/>
    <w:rsid w:val="003A29B3"/>
    <w:rsid w:val="003A4A3B"/>
    <w:rsid w:val="003A50D2"/>
    <w:rsid w:val="003A6735"/>
    <w:rsid w:val="003A78E6"/>
    <w:rsid w:val="003B1663"/>
    <w:rsid w:val="003B2814"/>
    <w:rsid w:val="003B67D7"/>
    <w:rsid w:val="003B6DC5"/>
    <w:rsid w:val="003B71F1"/>
    <w:rsid w:val="003B7F80"/>
    <w:rsid w:val="003C052F"/>
    <w:rsid w:val="003C096A"/>
    <w:rsid w:val="003C0ADE"/>
    <w:rsid w:val="003C0DA2"/>
    <w:rsid w:val="003C1985"/>
    <w:rsid w:val="003D192D"/>
    <w:rsid w:val="003D35A0"/>
    <w:rsid w:val="003D4BDE"/>
    <w:rsid w:val="003D4C37"/>
    <w:rsid w:val="003D5A51"/>
    <w:rsid w:val="003D6599"/>
    <w:rsid w:val="003D6FDD"/>
    <w:rsid w:val="003D74F0"/>
    <w:rsid w:val="003E0D37"/>
    <w:rsid w:val="003E41F7"/>
    <w:rsid w:val="003E61A7"/>
    <w:rsid w:val="003E7AAE"/>
    <w:rsid w:val="003F17D2"/>
    <w:rsid w:val="003F1D76"/>
    <w:rsid w:val="003F44E2"/>
    <w:rsid w:val="003F5B69"/>
    <w:rsid w:val="003F6227"/>
    <w:rsid w:val="003F7DF8"/>
    <w:rsid w:val="00400321"/>
    <w:rsid w:val="00400597"/>
    <w:rsid w:val="004026CB"/>
    <w:rsid w:val="004038FF"/>
    <w:rsid w:val="00405432"/>
    <w:rsid w:val="004059ED"/>
    <w:rsid w:val="00405C31"/>
    <w:rsid w:val="00405EC3"/>
    <w:rsid w:val="00406154"/>
    <w:rsid w:val="0041373B"/>
    <w:rsid w:val="004143D0"/>
    <w:rsid w:val="00414638"/>
    <w:rsid w:val="00414BEF"/>
    <w:rsid w:val="00416946"/>
    <w:rsid w:val="004176E3"/>
    <w:rsid w:val="004209DA"/>
    <w:rsid w:val="004209FB"/>
    <w:rsid w:val="0042300C"/>
    <w:rsid w:val="00425009"/>
    <w:rsid w:val="00425DD6"/>
    <w:rsid w:val="00426123"/>
    <w:rsid w:val="004267AB"/>
    <w:rsid w:val="00426C6B"/>
    <w:rsid w:val="00427DDC"/>
    <w:rsid w:val="00430FBC"/>
    <w:rsid w:val="00433411"/>
    <w:rsid w:val="00433B5B"/>
    <w:rsid w:val="00434483"/>
    <w:rsid w:val="00435B17"/>
    <w:rsid w:val="00437370"/>
    <w:rsid w:val="00440A8C"/>
    <w:rsid w:val="004414CB"/>
    <w:rsid w:val="0044438B"/>
    <w:rsid w:val="00445505"/>
    <w:rsid w:val="00445809"/>
    <w:rsid w:val="00445B33"/>
    <w:rsid w:val="00453809"/>
    <w:rsid w:val="00460790"/>
    <w:rsid w:val="00462BD4"/>
    <w:rsid w:val="00463586"/>
    <w:rsid w:val="004635F3"/>
    <w:rsid w:val="00463C3D"/>
    <w:rsid w:val="0046676F"/>
    <w:rsid w:val="004678C9"/>
    <w:rsid w:val="004700C7"/>
    <w:rsid w:val="00470D31"/>
    <w:rsid w:val="00472FA0"/>
    <w:rsid w:val="00474ED3"/>
    <w:rsid w:val="00475B09"/>
    <w:rsid w:val="00477648"/>
    <w:rsid w:val="00477D1E"/>
    <w:rsid w:val="0048005C"/>
    <w:rsid w:val="00480CC1"/>
    <w:rsid w:val="00481679"/>
    <w:rsid w:val="00482AEB"/>
    <w:rsid w:val="00484902"/>
    <w:rsid w:val="00486557"/>
    <w:rsid w:val="004872DF"/>
    <w:rsid w:val="00491B7A"/>
    <w:rsid w:val="004931E9"/>
    <w:rsid w:val="00494838"/>
    <w:rsid w:val="004A11CB"/>
    <w:rsid w:val="004A1EB7"/>
    <w:rsid w:val="004A31BF"/>
    <w:rsid w:val="004A42ED"/>
    <w:rsid w:val="004A6D25"/>
    <w:rsid w:val="004A7E29"/>
    <w:rsid w:val="004B08B2"/>
    <w:rsid w:val="004B1384"/>
    <w:rsid w:val="004B2B77"/>
    <w:rsid w:val="004B2E36"/>
    <w:rsid w:val="004B3D79"/>
    <w:rsid w:val="004B6B91"/>
    <w:rsid w:val="004B76BF"/>
    <w:rsid w:val="004C2D8F"/>
    <w:rsid w:val="004C3431"/>
    <w:rsid w:val="004C36ED"/>
    <w:rsid w:val="004C3D9F"/>
    <w:rsid w:val="004C7312"/>
    <w:rsid w:val="004C7838"/>
    <w:rsid w:val="004D05F6"/>
    <w:rsid w:val="004D0C53"/>
    <w:rsid w:val="004D0D35"/>
    <w:rsid w:val="004D2806"/>
    <w:rsid w:val="004D30EA"/>
    <w:rsid w:val="004D36B4"/>
    <w:rsid w:val="004D4CDB"/>
    <w:rsid w:val="004D6970"/>
    <w:rsid w:val="004D72EA"/>
    <w:rsid w:val="004E112A"/>
    <w:rsid w:val="004E3006"/>
    <w:rsid w:val="004E325B"/>
    <w:rsid w:val="004E4406"/>
    <w:rsid w:val="004E45F4"/>
    <w:rsid w:val="004E51AC"/>
    <w:rsid w:val="004E70E7"/>
    <w:rsid w:val="004E7766"/>
    <w:rsid w:val="004F05D8"/>
    <w:rsid w:val="004F0D1A"/>
    <w:rsid w:val="004F0D6A"/>
    <w:rsid w:val="004F20C7"/>
    <w:rsid w:val="004F3E52"/>
    <w:rsid w:val="004F60D7"/>
    <w:rsid w:val="004F7905"/>
    <w:rsid w:val="00500876"/>
    <w:rsid w:val="00505F42"/>
    <w:rsid w:val="00506DD8"/>
    <w:rsid w:val="00506E1E"/>
    <w:rsid w:val="005079B1"/>
    <w:rsid w:val="005121B9"/>
    <w:rsid w:val="00512BFC"/>
    <w:rsid w:val="00521867"/>
    <w:rsid w:val="005220DD"/>
    <w:rsid w:val="00524D46"/>
    <w:rsid w:val="005258FE"/>
    <w:rsid w:val="005262FD"/>
    <w:rsid w:val="005309ED"/>
    <w:rsid w:val="00531DFE"/>
    <w:rsid w:val="00532EF0"/>
    <w:rsid w:val="00533A39"/>
    <w:rsid w:val="005342E2"/>
    <w:rsid w:val="00534726"/>
    <w:rsid w:val="00535580"/>
    <w:rsid w:val="00536070"/>
    <w:rsid w:val="005362E0"/>
    <w:rsid w:val="005378A7"/>
    <w:rsid w:val="0054075F"/>
    <w:rsid w:val="00541C1A"/>
    <w:rsid w:val="00541C99"/>
    <w:rsid w:val="00542D5D"/>
    <w:rsid w:val="005447F8"/>
    <w:rsid w:val="00545055"/>
    <w:rsid w:val="00547809"/>
    <w:rsid w:val="0054793F"/>
    <w:rsid w:val="00550A51"/>
    <w:rsid w:val="00550D99"/>
    <w:rsid w:val="005563DE"/>
    <w:rsid w:val="005613AE"/>
    <w:rsid w:val="00561C5E"/>
    <w:rsid w:val="0056285A"/>
    <w:rsid w:val="00564EEB"/>
    <w:rsid w:val="00566C36"/>
    <w:rsid w:val="00567B1C"/>
    <w:rsid w:val="00570BD7"/>
    <w:rsid w:val="00570EBF"/>
    <w:rsid w:val="005711CF"/>
    <w:rsid w:val="005718A2"/>
    <w:rsid w:val="0057297F"/>
    <w:rsid w:val="00572A5A"/>
    <w:rsid w:val="005733B6"/>
    <w:rsid w:val="005739BD"/>
    <w:rsid w:val="00574047"/>
    <w:rsid w:val="00574C2C"/>
    <w:rsid w:val="005758F8"/>
    <w:rsid w:val="00577F0B"/>
    <w:rsid w:val="00581EA1"/>
    <w:rsid w:val="00582E12"/>
    <w:rsid w:val="00582E82"/>
    <w:rsid w:val="00584E23"/>
    <w:rsid w:val="005850DC"/>
    <w:rsid w:val="005864EE"/>
    <w:rsid w:val="00587B64"/>
    <w:rsid w:val="0059070B"/>
    <w:rsid w:val="00590A69"/>
    <w:rsid w:val="00593831"/>
    <w:rsid w:val="00595D51"/>
    <w:rsid w:val="005976CF"/>
    <w:rsid w:val="005A14E2"/>
    <w:rsid w:val="005A188D"/>
    <w:rsid w:val="005A1A2C"/>
    <w:rsid w:val="005A205A"/>
    <w:rsid w:val="005A5F81"/>
    <w:rsid w:val="005B1D04"/>
    <w:rsid w:val="005B2A5E"/>
    <w:rsid w:val="005B46DF"/>
    <w:rsid w:val="005B5DA4"/>
    <w:rsid w:val="005B5F05"/>
    <w:rsid w:val="005B6CE7"/>
    <w:rsid w:val="005C469B"/>
    <w:rsid w:val="005C5E01"/>
    <w:rsid w:val="005D06D7"/>
    <w:rsid w:val="005D6109"/>
    <w:rsid w:val="005D6921"/>
    <w:rsid w:val="005D7125"/>
    <w:rsid w:val="005E0312"/>
    <w:rsid w:val="005E2FA7"/>
    <w:rsid w:val="005E3CF1"/>
    <w:rsid w:val="005E4ACD"/>
    <w:rsid w:val="005E4EBF"/>
    <w:rsid w:val="005E6D8A"/>
    <w:rsid w:val="005E6FDA"/>
    <w:rsid w:val="005E7A11"/>
    <w:rsid w:val="005F0235"/>
    <w:rsid w:val="005F040D"/>
    <w:rsid w:val="005F05FF"/>
    <w:rsid w:val="005F1005"/>
    <w:rsid w:val="005F2160"/>
    <w:rsid w:val="005F3654"/>
    <w:rsid w:val="005F484A"/>
    <w:rsid w:val="005F660B"/>
    <w:rsid w:val="00602E63"/>
    <w:rsid w:val="00604650"/>
    <w:rsid w:val="00604994"/>
    <w:rsid w:val="00605B26"/>
    <w:rsid w:val="006107F8"/>
    <w:rsid w:val="00612428"/>
    <w:rsid w:val="006128D8"/>
    <w:rsid w:val="00612F3E"/>
    <w:rsid w:val="00614733"/>
    <w:rsid w:val="006203AF"/>
    <w:rsid w:val="00620C8A"/>
    <w:rsid w:val="0062182B"/>
    <w:rsid w:val="0062194D"/>
    <w:rsid w:val="00621CC0"/>
    <w:rsid w:val="006243DC"/>
    <w:rsid w:val="00624A32"/>
    <w:rsid w:val="00625FDC"/>
    <w:rsid w:val="00627D22"/>
    <w:rsid w:val="00627E4C"/>
    <w:rsid w:val="006307CF"/>
    <w:rsid w:val="00632C52"/>
    <w:rsid w:val="0063399C"/>
    <w:rsid w:val="00633C15"/>
    <w:rsid w:val="00634489"/>
    <w:rsid w:val="006350CE"/>
    <w:rsid w:val="006377B7"/>
    <w:rsid w:val="00640092"/>
    <w:rsid w:val="006420F9"/>
    <w:rsid w:val="00642205"/>
    <w:rsid w:val="00642A0D"/>
    <w:rsid w:val="00642AC1"/>
    <w:rsid w:val="00642C7B"/>
    <w:rsid w:val="00643D9C"/>
    <w:rsid w:val="00643DD0"/>
    <w:rsid w:val="00644A0B"/>
    <w:rsid w:val="006468E9"/>
    <w:rsid w:val="0064787B"/>
    <w:rsid w:val="00647EBF"/>
    <w:rsid w:val="0065106A"/>
    <w:rsid w:val="00651471"/>
    <w:rsid w:val="006518FA"/>
    <w:rsid w:val="00651C04"/>
    <w:rsid w:val="00652D11"/>
    <w:rsid w:val="00653D09"/>
    <w:rsid w:val="006544E0"/>
    <w:rsid w:val="0065551F"/>
    <w:rsid w:val="00656A44"/>
    <w:rsid w:val="00661A7D"/>
    <w:rsid w:val="00662334"/>
    <w:rsid w:val="00662DCB"/>
    <w:rsid w:val="00663290"/>
    <w:rsid w:val="006673B0"/>
    <w:rsid w:val="006675AC"/>
    <w:rsid w:val="00670DD5"/>
    <w:rsid w:val="006716F7"/>
    <w:rsid w:val="00671E00"/>
    <w:rsid w:val="00671EB9"/>
    <w:rsid w:val="00672E48"/>
    <w:rsid w:val="0067448C"/>
    <w:rsid w:val="00675421"/>
    <w:rsid w:val="00675ECE"/>
    <w:rsid w:val="00675FA2"/>
    <w:rsid w:val="006761CB"/>
    <w:rsid w:val="0067720A"/>
    <w:rsid w:val="006837A3"/>
    <w:rsid w:val="00684EE1"/>
    <w:rsid w:val="00686BF9"/>
    <w:rsid w:val="00687099"/>
    <w:rsid w:val="00687B11"/>
    <w:rsid w:val="0069075C"/>
    <w:rsid w:val="0069119C"/>
    <w:rsid w:val="006917C3"/>
    <w:rsid w:val="006918BD"/>
    <w:rsid w:val="00692322"/>
    <w:rsid w:val="00692B73"/>
    <w:rsid w:val="00695A77"/>
    <w:rsid w:val="00695FCA"/>
    <w:rsid w:val="00696B74"/>
    <w:rsid w:val="00697843"/>
    <w:rsid w:val="006A0327"/>
    <w:rsid w:val="006A6AEE"/>
    <w:rsid w:val="006B0705"/>
    <w:rsid w:val="006B13F8"/>
    <w:rsid w:val="006B1505"/>
    <w:rsid w:val="006B26FE"/>
    <w:rsid w:val="006B3F30"/>
    <w:rsid w:val="006B4669"/>
    <w:rsid w:val="006B4840"/>
    <w:rsid w:val="006B7049"/>
    <w:rsid w:val="006C0D7C"/>
    <w:rsid w:val="006C2655"/>
    <w:rsid w:val="006C29E2"/>
    <w:rsid w:val="006C41BA"/>
    <w:rsid w:val="006C6C92"/>
    <w:rsid w:val="006D25C1"/>
    <w:rsid w:val="006D3330"/>
    <w:rsid w:val="006D3593"/>
    <w:rsid w:val="006D4616"/>
    <w:rsid w:val="006D4B96"/>
    <w:rsid w:val="006D5659"/>
    <w:rsid w:val="006E285D"/>
    <w:rsid w:val="006E3B9C"/>
    <w:rsid w:val="006E3C78"/>
    <w:rsid w:val="006E4432"/>
    <w:rsid w:val="006E45B8"/>
    <w:rsid w:val="006E5D1B"/>
    <w:rsid w:val="006E71D9"/>
    <w:rsid w:val="006F0A9E"/>
    <w:rsid w:val="006F17B5"/>
    <w:rsid w:val="006F1CEF"/>
    <w:rsid w:val="006F2038"/>
    <w:rsid w:val="006F209B"/>
    <w:rsid w:val="006F271F"/>
    <w:rsid w:val="006F5212"/>
    <w:rsid w:val="006F767F"/>
    <w:rsid w:val="007014A7"/>
    <w:rsid w:val="007017D2"/>
    <w:rsid w:val="00701CB3"/>
    <w:rsid w:val="00701DA0"/>
    <w:rsid w:val="007030E3"/>
    <w:rsid w:val="00703690"/>
    <w:rsid w:val="00704C14"/>
    <w:rsid w:val="0070553A"/>
    <w:rsid w:val="007067FD"/>
    <w:rsid w:val="007076ED"/>
    <w:rsid w:val="00707A23"/>
    <w:rsid w:val="007109AF"/>
    <w:rsid w:val="00710C7E"/>
    <w:rsid w:val="0071136A"/>
    <w:rsid w:val="0071250B"/>
    <w:rsid w:val="00712698"/>
    <w:rsid w:val="007127B0"/>
    <w:rsid w:val="007147B5"/>
    <w:rsid w:val="00716152"/>
    <w:rsid w:val="00716BC2"/>
    <w:rsid w:val="00716EC0"/>
    <w:rsid w:val="00720C11"/>
    <w:rsid w:val="00721F5D"/>
    <w:rsid w:val="007225F1"/>
    <w:rsid w:val="00722764"/>
    <w:rsid w:val="007243D1"/>
    <w:rsid w:val="00725F53"/>
    <w:rsid w:val="0072607C"/>
    <w:rsid w:val="00726795"/>
    <w:rsid w:val="007278FE"/>
    <w:rsid w:val="007320EA"/>
    <w:rsid w:val="0073285F"/>
    <w:rsid w:val="00733747"/>
    <w:rsid w:val="0073378F"/>
    <w:rsid w:val="00735774"/>
    <w:rsid w:val="00736A35"/>
    <w:rsid w:val="00737475"/>
    <w:rsid w:val="007413D8"/>
    <w:rsid w:val="007466C1"/>
    <w:rsid w:val="00746BE6"/>
    <w:rsid w:val="00747129"/>
    <w:rsid w:val="00750A22"/>
    <w:rsid w:val="007511EC"/>
    <w:rsid w:val="0075160F"/>
    <w:rsid w:val="00751873"/>
    <w:rsid w:val="00752B32"/>
    <w:rsid w:val="00752D81"/>
    <w:rsid w:val="00757810"/>
    <w:rsid w:val="007602EE"/>
    <w:rsid w:val="007607BD"/>
    <w:rsid w:val="00760E1E"/>
    <w:rsid w:val="00760EA8"/>
    <w:rsid w:val="007623E7"/>
    <w:rsid w:val="007624A3"/>
    <w:rsid w:val="00762B0B"/>
    <w:rsid w:val="00762D24"/>
    <w:rsid w:val="00763038"/>
    <w:rsid w:val="007630D1"/>
    <w:rsid w:val="007635C5"/>
    <w:rsid w:val="00765CF2"/>
    <w:rsid w:val="00770C11"/>
    <w:rsid w:val="00771DB2"/>
    <w:rsid w:val="007727B9"/>
    <w:rsid w:val="00773AD1"/>
    <w:rsid w:val="007760BC"/>
    <w:rsid w:val="00780037"/>
    <w:rsid w:val="0078121D"/>
    <w:rsid w:val="00781459"/>
    <w:rsid w:val="00781786"/>
    <w:rsid w:val="00783F59"/>
    <w:rsid w:val="00784FF7"/>
    <w:rsid w:val="007872ED"/>
    <w:rsid w:val="007904E0"/>
    <w:rsid w:val="007907DF"/>
    <w:rsid w:val="00792ABE"/>
    <w:rsid w:val="00792D33"/>
    <w:rsid w:val="00794379"/>
    <w:rsid w:val="00794809"/>
    <w:rsid w:val="00794925"/>
    <w:rsid w:val="00795035"/>
    <w:rsid w:val="00795F4D"/>
    <w:rsid w:val="00796AB6"/>
    <w:rsid w:val="00796FF4"/>
    <w:rsid w:val="007A09C4"/>
    <w:rsid w:val="007A34C4"/>
    <w:rsid w:val="007A357F"/>
    <w:rsid w:val="007A51DC"/>
    <w:rsid w:val="007A5AF7"/>
    <w:rsid w:val="007B5615"/>
    <w:rsid w:val="007B78F5"/>
    <w:rsid w:val="007C07DE"/>
    <w:rsid w:val="007C13A8"/>
    <w:rsid w:val="007C214B"/>
    <w:rsid w:val="007C46E6"/>
    <w:rsid w:val="007D021E"/>
    <w:rsid w:val="007D0C5C"/>
    <w:rsid w:val="007D0D95"/>
    <w:rsid w:val="007D125F"/>
    <w:rsid w:val="007D2621"/>
    <w:rsid w:val="007D2640"/>
    <w:rsid w:val="007D35B4"/>
    <w:rsid w:val="007D7143"/>
    <w:rsid w:val="007D7BFD"/>
    <w:rsid w:val="007D7CA9"/>
    <w:rsid w:val="007E03B4"/>
    <w:rsid w:val="007E13DD"/>
    <w:rsid w:val="007E26CD"/>
    <w:rsid w:val="007E2FF3"/>
    <w:rsid w:val="007E3366"/>
    <w:rsid w:val="007E41B2"/>
    <w:rsid w:val="007E557C"/>
    <w:rsid w:val="007E587D"/>
    <w:rsid w:val="007E76B1"/>
    <w:rsid w:val="007F0042"/>
    <w:rsid w:val="007F0956"/>
    <w:rsid w:val="007F0EC4"/>
    <w:rsid w:val="007F1B90"/>
    <w:rsid w:val="007F2C1A"/>
    <w:rsid w:val="007F33BA"/>
    <w:rsid w:val="007F4120"/>
    <w:rsid w:val="007F5BF7"/>
    <w:rsid w:val="007F71E9"/>
    <w:rsid w:val="007F743D"/>
    <w:rsid w:val="007F747F"/>
    <w:rsid w:val="007F7D2B"/>
    <w:rsid w:val="0080340B"/>
    <w:rsid w:val="00804F17"/>
    <w:rsid w:val="00805B70"/>
    <w:rsid w:val="00806213"/>
    <w:rsid w:val="00807032"/>
    <w:rsid w:val="008077B7"/>
    <w:rsid w:val="008079E5"/>
    <w:rsid w:val="00810290"/>
    <w:rsid w:val="00810934"/>
    <w:rsid w:val="00810C93"/>
    <w:rsid w:val="008110AF"/>
    <w:rsid w:val="008126CB"/>
    <w:rsid w:val="00813889"/>
    <w:rsid w:val="00814365"/>
    <w:rsid w:val="00814806"/>
    <w:rsid w:val="008168ED"/>
    <w:rsid w:val="0081759B"/>
    <w:rsid w:val="00817C05"/>
    <w:rsid w:val="00817EE3"/>
    <w:rsid w:val="00820911"/>
    <w:rsid w:val="00823EC6"/>
    <w:rsid w:val="00824DA8"/>
    <w:rsid w:val="00827247"/>
    <w:rsid w:val="00827645"/>
    <w:rsid w:val="008347FC"/>
    <w:rsid w:val="00836CDC"/>
    <w:rsid w:val="00841662"/>
    <w:rsid w:val="00841711"/>
    <w:rsid w:val="00843540"/>
    <w:rsid w:val="008438B6"/>
    <w:rsid w:val="00844950"/>
    <w:rsid w:val="00845DBD"/>
    <w:rsid w:val="00851291"/>
    <w:rsid w:val="00853DD4"/>
    <w:rsid w:val="00853E5C"/>
    <w:rsid w:val="00855AA5"/>
    <w:rsid w:val="0086231A"/>
    <w:rsid w:val="00864020"/>
    <w:rsid w:val="008656E5"/>
    <w:rsid w:val="00865C8B"/>
    <w:rsid w:val="00865CDF"/>
    <w:rsid w:val="00871C79"/>
    <w:rsid w:val="00872117"/>
    <w:rsid w:val="00873E42"/>
    <w:rsid w:val="008749A6"/>
    <w:rsid w:val="008754D4"/>
    <w:rsid w:val="00876F2B"/>
    <w:rsid w:val="008777ED"/>
    <w:rsid w:val="00877D15"/>
    <w:rsid w:val="0088058E"/>
    <w:rsid w:val="0088411A"/>
    <w:rsid w:val="0088525D"/>
    <w:rsid w:val="00886A9A"/>
    <w:rsid w:val="0089068C"/>
    <w:rsid w:val="00891A33"/>
    <w:rsid w:val="00893233"/>
    <w:rsid w:val="00893434"/>
    <w:rsid w:val="00894294"/>
    <w:rsid w:val="0089436C"/>
    <w:rsid w:val="00894B18"/>
    <w:rsid w:val="00895FBD"/>
    <w:rsid w:val="00897B39"/>
    <w:rsid w:val="008A08ED"/>
    <w:rsid w:val="008A10B8"/>
    <w:rsid w:val="008A18F6"/>
    <w:rsid w:val="008A1D78"/>
    <w:rsid w:val="008A2C29"/>
    <w:rsid w:val="008A38CF"/>
    <w:rsid w:val="008A3D16"/>
    <w:rsid w:val="008A46A3"/>
    <w:rsid w:val="008A533C"/>
    <w:rsid w:val="008A5A98"/>
    <w:rsid w:val="008B047E"/>
    <w:rsid w:val="008B5867"/>
    <w:rsid w:val="008B61B2"/>
    <w:rsid w:val="008B6448"/>
    <w:rsid w:val="008B763A"/>
    <w:rsid w:val="008B77C2"/>
    <w:rsid w:val="008B7B08"/>
    <w:rsid w:val="008C0D5E"/>
    <w:rsid w:val="008C21DF"/>
    <w:rsid w:val="008C4FDD"/>
    <w:rsid w:val="008C5DD1"/>
    <w:rsid w:val="008C64FD"/>
    <w:rsid w:val="008C65D0"/>
    <w:rsid w:val="008C7177"/>
    <w:rsid w:val="008C75F1"/>
    <w:rsid w:val="008D07BD"/>
    <w:rsid w:val="008D1049"/>
    <w:rsid w:val="008D1D37"/>
    <w:rsid w:val="008D2A51"/>
    <w:rsid w:val="008D42A7"/>
    <w:rsid w:val="008D4C35"/>
    <w:rsid w:val="008D53D5"/>
    <w:rsid w:val="008D53EF"/>
    <w:rsid w:val="008D6BD7"/>
    <w:rsid w:val="008D6C07"/>
    <w:rsid w:val="008D7DAD"/>
    <w:rsid w:val="008E07AF"/>
    <w:rsid w:val="008E1E6D"/>
    <w:rsid w:val="008E2C30"/>
    <w:rsid w:val="008E37C9"/>
    <w:rsid w:val="008E3EAA"/>
    <w:rsid w:val="008E3ED3"/>
    <w:rsid w:val="008E416E"/>
    <w:rsid w:val="008E4E3E"/>
    <w:rsid w:val="008E4ED2"/>
    <w:rsid w:val="008F02F8"/>
    <w:rsid w:val="008F18B2"/>
    <w:rsid w:val="008F1FD8"/>
    <w:rsid w:val="008F6F55"/>
    <w:rsid w:val="00900189"/>
    <w:rsid w:val="009014B8"/>
    <w:rsid w:val="00902A83"/>
    <w:rsid w:val="00903F6D"/>
    <w:rsid w:val="0090401F"/>
    <w:rsid w:val="009040B4"/>
    <w:rsid w:val="00904768"/>
    <w:rsid w:val="00905653"/>
    <w:rsid w:val="00907320"/>
    <w:rsid w:val="0091190D"/>
    <w:rsid w:val="00911CF4"/>
    <w:rsid w:val="00911D54"/>
    <w:rsid w:val="00912A46"/>
    <w:rsid w:val="0091362F"/>
    <w:rsid w:val="00914583"/>
    <w:rsid w:val="00914FCD"/>
    <w:rsid w:val="00921340"/>
    <w:rsid w:val="00922B7C"/>
    <w:rsid w:val="00922C50"/>
    <w:rsid w:val="009230F8"/>
    <w:rsid w:val="00923863"/>
    <w:rsid w:val="00923E70"/>
    <w:rsid w:val="00925786"/>
    <w:rsid w:val="00927CE2"/>
    <w:rsid w:val="00930528"/>
    <w:rsid w:val="00930F8E"/>
    <w:rsid w:val="00932772"/>
    <w:rsid w:val="00932DD7"/>
    <w:rsid w:val="00934713"/>
    <w:rsid w:val="00934FAC"/>
    <w:rsid w:val="009361F8"/>
    <w:rsid w:val="009369F4"/>
    <w:rsid w:val="00940BCA"/>
    <w:rsid w:val="00941825"/>
    <w:rsid w:val="0094239D"/>
    <w:rsid w:val="00942788"/>
    <w:rsid w:val="00943BBD"/>
    <w:rsid w:val="00944509"/>
    <w:rsid w:val="00944856"/>
    <w:rsid w:val="0095114B"/>
    <w:rsid w:val="009524D5"/>
    <w:rsid w:val="00952543"/>
    <w:rsid w:val="00953807"/>
    <w:rsid w:val="00953D9F"/>
    <w:rsid w:val="00954B78"/>
    <w:rsid w:val="00954C95"/>
    <w:rsid w:val="009552B4"/>
    <w:rsid w:val="0095579B"/>
    <w:rsid w:val="00964D00"/>
    <w:rsid w:val="00965A3F"/>
    <w:rsid w:val="0096630D"/>
    <w:rsid w:val="009679E9"/>
    <w:rsid w:val="00972EEE"/>
    <w:rsid w:val="00977EA1"/>
    <w:rsid w:val="009812E3"/>
    <w:rsid w:val="00985B39"/>
    <w:rsid w:val="00985BA4"/>
    <w:rsid w:val="00986A8E"/>
    <w:rsid w:val="00986F2A"/>
    <w:rsid w:val="00987AF5"/>
    <w:rsid w:val="009908E8"/>
    <w:rsid w:val="00990A08"/>
    <w:rsid w:val="00990CF9"/>
    <w:rsid w:val="0099158C"/>
    <w:rsid w:val="00991896"/>
    <w:rsid w:val="009920CB"/>
    <w:rsid w:val="00992AE0"/>
    <w:rsid w:val="00993B13"/>
    <w:rsid w:val="00993B8B"/>
    <w:rsid w:val="00994F90"/>
    <w:rsid w:val="00997414"/>
    <w:rsid w:val="00997837"/>
    <w:rsid w:val="009A51CE"/>
    <w:rsid w:val="009A6DE1"/>
    <w:rsid w:val="009A7898"/>
    <w:rsid w:val="009A7F1E"/>
    <w:rsid w:val="009B04B7"/>
    <w:rsid w:val="009B13AB"/>
    <w:rsid w:val="009B1E1A"/>
    <w:rsid w:val="009B2EC4"/>
    <w:rsid w:val="009B6721"/>
    <w:rsid w:val="009B69CD"/>
    <w:rsid w:val="009B709C"/>
    <w:rsid w:val="009C1490"/>
    <w:rsid w:val="009C195E"/>
    <w:rsid w:val="009C4159"/>
    <w:rsid w:val="009C4543"/>
    <w:rsid w:val="009C4EF1"/>
    <w:rsid w:val="009C6586"/>
    <w:rsid w:val="009C74BE"/>
    <w:rsid w:val="009C751B"/>
    <w:rsid w:val="009C77A5"/>
    <w:rsid w:val="009D33F9"/>
    <w:rsid w:val="009D3CF8"/>
    <w:rsid w:val="009D55C2"/>
    <w:rsid w:val="009D561D"/>
    <w:rsid w:val="009D5ECE"/>
    <w:rsid w:val="009D746F"/>
    <w:rsid w:val="009E0452"/>
    <w:rsid w:val="009E3834"/>
    <w:rsid w:val="009E6304"/>
    <w:rsid w:val="009E7B2E"/>
    <w:rsid w:val="009E7E17"/>
    <w:rsid w:val="009F1D14"/>
    <w:rsid w:val="009F2996"/>
    <w:rsid w:val="009F43F8"/>
    <w:rsid w:val="009F689B"/>
    <w:rsid w:val="00A01371"/>
    <w:rsid w:val="00A03863"/>
    <w:rsid w:val="00A04117"/>
    <w:rsid w:val="00A047AC"/>
    <w:rsid w:val="00A04C73"/>
    <w:rsid w:val="00A06CF7"/>
    <w:rsid w:val="00A1035F"/>
    <w:rsid w:val="00A108F3"/>
    <w:rsid w:val="00A10F78"/>
    <w:rsid w:val="00A1289A"/>
    <w:rsid w:val="00A12AAE"/>
    <w:rsid w:val="00A16B22"/>
    <w:rsid w:val="00A17E43"/>
    <w:rsid w:val="00A201B1"/>
    <w:rsid w:val="00A208C3"/>
    <w:rsid w:val="00A21014"/>
    <w:rsid w:val="00A2257C"/>
    <w:rsid w:val="00A24B84"/>
    <w:rsid w:val="00A24FBB"/>
    <w:rsid w:val="00A25429"/>
    <w:rsid w:val="00A254D7"/>
    <w:rsid w:val="00A2634D"/>
    <w:rsid w:val="00A26479"/>
    <w:rsid w:val="00A2774F"/>
    <w:rsid w:val="00A27843"/>
    <w:rsid w:val="00A30098"/>
    <w:rsid w:val="00A303DB"/>
    <w:rsid w:val="00A3084A"/>
    <w:rsid w:val="00A30A64"/>
    <w:rsid w:val="00A3120C"/>
    <w:rsid w:val="00A31A3D"/>
    <w:rsid w:val="00A366B7"/>
    <w:rsid w:val="00A37D69"/>
    <w:rsid w:val="00A37E9C"/>
    <w:rsid w:val="00A435EF"/>
    <w:rsid w:val="00A44892"/>
    <w:rsid w:val="00A47ABB"/>
    <w:rsid w:val="00A51033"/>
    <w:rsid w:val="00A5167F"/>
    <w:rsid w:val="00A518E8"/>
    <w:rsid w:val="00A51A09"/>
    <w:rsid w:val="00A54157"/>
    <w:rsid w:val="00A54461"/>
    <w:rsid w:val="00A555BE"/>
    <w:rsid w:val="00A55F27"/>
    <w:rsid w:val="00A56903"/>
    <w:rsid w:val="00A56A0B"/>
    <w:rsid w:val="00A600F2"/>
    <w:rsid w:val="00A60216"/>
    <w:rsid w:val="00A60CB5"/>
    <w:rsid w:val="00A6260A"/>
    <w:rsid w:val="00A63600"/>
    <w:rsid w:val="00A65499"/>
    <w:rsid w:val="00A657DF"/>
    <w:rsid w:val="00A67D96"/>
    <w:rsid w:val="00A67DA4"/>
    <w:rsid w:val="00A72A9B"/>
    <w:rsid w:val="00A74108"/>
    <w:rsid w:val="00A74721"/>
    <w:rsid w:val="00A7734B"/>
    <w:rsid w:val="00A774FA"/>
    <w:rsid w:val="00A77B8D"/>
    <w:rsid w:val="00A77B9B"/>
    <w:rsid w:val="00A82579"/>
    <w:rsid w:val="00A82DA4"/>
    <w:rsid w:val="00A8323F"/>
    <w:rsid w:val="00A83BB5"/>
    <w:rsid w:val="00A83E46"/>
    <w:rsid w:val="00A850BF"/>
    <w:rsid w:val="00A85E7E"/>
    <w:rsid w:val="00A86AA3"/>
    <w:rsid w:val="00A90DA4"/>
    <w:rsid w:val="00A90DF6"/>
    <w:rsid w:val="00A91406"/>
    <w:rsid w:val="00A92989"/>
    <w:rsid w:val="00A92FEB"/>
    <w:rsid w:val="00A94C95"/>
    <w:rsid w:val="00A94D57"/>
    <w:rsid w:val="00A97EDE"/>
    <w:rsid w:val="00AA0420"/>
    <w:rsid w:val="00AA0ABC"/>
    <w:rsid w:val="00AA138A"/>
    <w:rsid w:val="00AA2123"/>
    <w:rsid w:val="00AA250D"/>
    <w:rsid w:val="00AA3B6B"/>
    <w:rsid w:val="00AA4AFD"/>
    <w:rsid w:val="00AA573A"/>
    <w:rsid w:val="00AA6596"/>
    <w:rsid w:val="00AB0733"/>
    <w:rsid w:val="00AB07D1"/>
    <w:rsid w:val="00AB2CE7"/>
    <w:rsid w:val="00AB34A1"/>
    <w:rsid w:val="00AB4FC1"/>
    <w:rsid w:val="00AB6613"/>
    <w:rsid w:val="00AB681C"/>
    <w:rsid w:val="00AC2BEC"/>
    <w:rsid w:val="00AC43E4"/>
    <w:rsid w:val="00AC4829"/>
    <w:rsid w:val="00AC6234"/>
    <w:rsid w:val="00AC6524"/>
    <w:rsid w:val="00AC70EE"/>
    <w:rsid w:val="00AD0568"/>
    <w:rsid w:val="00AD1FCF"/>
    <w:rsid w:val="00AD37E5"/>
    <w:rsid w:val="00AE00D5"/>
    <w:rsid w:val="00AE0500"/>
    <w:rsid w:val="00AE17CA"/>
    <w:rsid w:val="00AE256D"/>
    <w:rsid w:val="00AE35CF"/>
    <w:rsid w:val="00AE4B08"/>
    <w:rsid w:val="00AE5F09"/>
    <w:rsid w:val="00AE640C"/>
    <w:rsid w:val="00AE7BF5"/>
    <w:rsid w:val="00AF00E7"/>
    <w:rsid w:val="00AF6D2F"/>
    <w:rsid w:val="00AF7A10"/>
    <w:rsid w:val="00B00912"/>
    <w:rsid w:val="00B01B8B"/>
    <w:rsid w:val="00B0217F"/>
    <w:rsid w:val="00B030AD"/>
    <w:rsid w:val="00B04BBB"/>
    <w:rsid w:val="00B04E2E"/>
    <w:rsid w:val="00B04FE7"/>
    <w:rsid w:val="00B05B69"/>
    <w:rsid w:val="00B05EF9"/>
    <w:rsid w:val="00B06409"/>
    <w:rsid w:val="00B0688D"/>
    <w:rsid w:val="00B11A6E"/>
    <w:rsid w:val="00B12166"/>
    <w:rsid w:val="00B12DE0"/>
    <w:rsid w:val="00B16988"/>
    <w:rsid w:val="00B17289"/>
    <w:rsid w:val="00B177DB"/>
    <w:rsid w:val="00B1F36B"/>
    <w:rsid w:val="00B2002B"/>
    <w:rsid w:val="00B2043B"/>
    <w:rsid w:val="00B21FDC"/>
    <w:rsid w:val="00B22E74"/>
    <w:rsid w:val="00B265FD"/>
    <w:rsid w:val="00B26868"/>
    <w:rsid w:val="00B26E83"/>
    <w:rsid w:val="00B27F58"/>
    <w:rsid w:val="00B2F449"/>
    <w:rsid w:val="00B30BF5"/>
    <w:rsid w:val="00B31635"/>
    <w:rsid w:val="00B33081"/>
    <w:rsid w:val="00B3532D"/>
    <w:rsid w:val="00B379D5"/>
    <w:rsid w:val="00B40C46"/>
    <w:rsid w:val="00B40D7A"/>
    <w:rsid w:val="00B41457"/>
    <w:rsid w:val="00B42378"/>
    <w:rsid w:val="00B43183"/>
    <w:rsid w:val="00B437C5"/>
    <w:rsid w:val="00B43DCC"/>
    <w:rsid w:val="00B44B78"/>
    <w:rsid w:val="00B44FEF"/>
    <w:rsid w:val="00B454B1"/>
    <w:rsid w:val="00B45558"/>
    <w:rsid w:val="00B45B07"/>
    <w:rsid w:val="00B47FA1"/>
    <w:rsid w:val="00B50097"/>
    <w:rsid w:val="00B52182"/>
    <w:rsid w:val="00B5232D"/>
    <w:rsid w:val="00B52616"/>
    <w:rsid w:val="00B54B53"/>
    <w:rsid w:val="00B54E0D"/>
    <w:rsid w:val="00B57A4A"/>
    <w:rsid w:val="00B6110C"/>
    <w:rsid w:val="00B61614"/>
    <w:rsid w:val="00B617D6"/>
    <w:rsid w:val="00B63BF9"/>
    <w:rsid w:val="00B65A06"/>
    <w:rsid w:val="00B66145"/>
    <w:rsid w:val="00B66167"/>
    <w:rsid w:val="00B67EF6"/>
    <w:rsid w:val="00B70B32"/>
    <w:rsid w:val="00B72413"/>
    <w:rsid w:val="00B72DA6"/>
    <w:rsid w:val="00B73D06"/>
    <w:rsid w:val="00B749BA"/>
    <w:rsid w:val="00B75B37"/>
    <w:rsid w:val="00B76312"/>
    <w:rsid w:val="00B805C3"/>
    <w:rsid w:val="00B808C8"/>
    <w:rsid w:val="00B81F20"/>
    <w:rsid w:val="00B8246E"/>
    <w:rsid w:val="00B829F8"/>
    <w:rsid w:val="00B830A2"/>
    <w:rsid w:val="00B834D0"/>
    <w:rsid w:val="00B835C8"/>
    <w:rsid w:val="00B848B2"/>
    <w:rsid w:val="00B85BD8"/>
    <w:rsid w:val="00B85D1E"/>
    <w:rsid w:val="00B85F48"/>
    <w:rsid w:val="00B87606"/>
    <w:rsid w:val="00B91AA9"/>
    <w:rsid w:val="00B94906"/>
    <w:rsid w:val="00B97560"/>
    <w:rsid w:val="00BA25FF"/>
    <w:rsid w:val="00BA3755"/>
    <w:rsid w:val="00BA3C18"/>
    <w:rsid w:val="00BA3F84"/>
    <w:rsid w:val="00BA4399"/>
    <w:rsid w:val="00BA7CCB"/>
    <w:rsid w:val="00BA7E30"/>
    <w:rsid w:val="00BB0AF2"/>
    <w:rsid w:val="00BB0E58"/>
    <w:rsid w:val="00BB15D8"/>
    <w:rsid w:val="00BB1DF9"/>
    <w:rsid w:val="00BB22D2"/>
    <w:rsid w:val="00BB379D"/>
    <w:rsid w:val="00BB5281"/>
    <w:rsid w:val="00BB5445"/>
    <w:rsid w:val="00BB5F62"/>
    <w:rsid w:val="00BC0435"/>
    <w:rsid w:val="00BC2ACB"/>
    <w:rsid w:val="00BC386A"/>
    <w:rsid w:val="00BC690E"/>
    <w:rsid w:val="00BD2F06"/>
    <w:rsid w:val="00BD3D7C"/>
    <w:rsid w:val="00BD3EB1"/>
    <w:rsid w:val="00BD4107"/>
    <w:rsid w:val="00BD49FB"/>
    <w:rsid w:val="00BD4D3E"/>
    <w:rsid w:val="00BE34C9"/>
    <w:rsid w:val="00BE4A9D"/>
    <w:rsid w:val="00BE594D"/>
    <w:rsid w:val="00BE745C"/>
    <w:rsid w:val="00BF1750"/>
    <w:rsid w:val="00BF2342"/>
    <w:rsid w:val="00BF24E6"/>
    <w:rsid w:val="00BF35C5"/>
    <w:rsid w:val="00BF523F"/>
    <w:rsid w:val="00BF59CB"/>
    <w:rsid w:val="00BF7F61"/>
    <w:rsid w:val="00C00277"/>
    <w:rsid w:val="00C00880"/>
    <w:rsid w:val="00C0094E"/>
    <w:rsid w:val="00C0326F"/>
    <w:rsid w:val="00C04685"/>
    <w:rsid w:val="00C104A9"/>
    <w:rsid w:val="00C11916"/>
    <w:rsid w:val="00C12363"/>
    <w:rsid w:val="00C12CA7"/>
    <w:rsid w:val="00C12FC0"/>
    <w:rsid w:val="00C1349F"/>
    <w:rsid w:val="00C144DE"/>
    <w:rsid w:val="00C14DB2"/>
    <w:rsid w:val="00C1669E"/>
    <w:rsid w:val="00C17883"/>
    <w:rsid w:val="00C206CA"/>
    <w:rsid w:val="00C23663"/>
    <w:rsid w:val="00C23B0E"/>
    <w:rsid w:val="00C240DE"/>
    <w:rsid w:val="00C249E7"/>
    <w:rsid w:val="00C2503A"/>
    <w:rsid w:val="00C267CC"/>
    <w:rsid w:val="00C27241"/>
    <w:rsid w:val="00C27BD7"/>
    <w:rsid w:val="00C309D9"/>
    <w:rsid w:val="00C319B0"/>
    <w:rsid w:val="00C32061"/>
    <w:rsid w:val="00C33315"/>
    <w:rsid w:val="00C341AC"/>
    <w:rsid w:val="00C356C3"/>
    <w:rsid w:val="00C37DCE"/>
    <w:rsid w:val="00C418BB"/>
    <w:rsid w:val="00C41C99"/>
    <w:rsid w:val="00C41CE0"/>
    <w:rsid w:val="00C41E9D"/>
    <w:rsid w:val="00C42406"/>
    <w:rsid w:val="00C42D21"/>
    <w:rsid w:val="00C42EF2"/>
    <w:rsid w:val="00C45ED8"/>
    <w:rsid w:val="00C46464"/>
    <w:rsid w:val="00C46990"/>
    <w:rsid w:val="00C46FD5"/>
    <w:rsid w:val="00C4738E"/>
    <w:rsid w:val="00C474F4"/>
    <w:rsid w:val="00C50526"/>
    <w:rsid w:val="00C512BC"/>
    <w:rsid w:val="00C51D30"/>
    <w:rsid w:val="00C51EAF"/>
    <w:rsid w:val="00C52AEE"/>
    <w:rsid w:val="00C54D70"/>
    <w:rsid w:val="00C55162"/>
    <w:rsid w:val="00C5518F"/>
    <w:rsid w:val="00C5679D"/>
    <w:rsid w:val="00C56A5F"/>
    <w:rsid w:val="00C62017"/>
    <w:rsid w:val="00C62638"/>
    <w:rsid w:val="00C63633"/>
    <w:rsid w:val="00C639B3"/>
    <w:rsid w:val="00C64293"/>
    <w:rsid w:val="00C656CD"/>
    <w:rsid w:val="00C657C5"/>
    <w:rsid w:val="00C65C47"/>
    <w:rsid w:val="00C66B93"/>
    <w:rsid w:val="00C704DD"/>
    <w:rsid w:val="00C7060D"/>
    <w:rsid w:val="00C70D98"/>
    <w:rsid w:val="00C71547"/>
    <w:rsid w:val="00C728A5"/>
    <w:rsid w:val="00C72C20"/>
    <w:rsid w:val="00C7339E"/>
    <w:rsid w:val="00C73471"/>
    <w:rsid w:val="00C7400A"/>
    <w:rsid w:val="00C75CE2"/>
    <w:rsid w:val="00C8018C"/>
    <w:rsid w:val="00C80CE7"/>
    <w:rsid w:val="00C81CFA"/>
    <w:rsid w:val="00C83040"/>
    <w:rsid w:val="00C83095"/>
    <w:rsid w:val="00C84E5F"/>
    <w:rsid w:val="00C8512E"/>
    <w:rsid w:val="00C85586"/>
    <w:rsid w:val="00C86B53"/>
    <w:rsid w:val="00C86C52"/>
    <w:rsid w:val="00C90587"/>
    <w:rsid w:val="00C90964"/>
    <w:rsid w:val="00C94802"/>
    <w:rsid w:val="00C94EA3"/>
    <w:rsid w:val="00C978D2"/>
    <w:rsid w:val="00CA0287"/>
    <w:rsid w:val="00CA0966"/>
    <w:rsid w:val="00CA0BBC"/>
    <w:rsid w:val="00CA1872"/>
    <w:rsid w:val="00CA29C1"/>
    <w:rsid w:val="00CA2E80"/>
    <w:rsid w:val="00CA36C9"/>
    <w:rsid w:val="00CA4215"/>
    <w:rsid w:val="00CA48BE"/>
    <w:rsid w:val="00CA63EC"/>
    <w:rsid w:val="00CA722D"/>
    <w:rsid w:val="00CB09EE"/>
    <w:rsid w:val="00CB3FA6"/>
    <w:rsid w:val="00CB51CB"/>
    <w:rsid w:val="00CB5D16"/>
    <w:rsid w:val="00CB5EC2"/>
    <w:rsid w:val="00CB7D7E"/>
    <w:rsid w:val="00CC0363"/>
    <w:rsid w:val="00CC14B9"/>
    <w:rsid w:val="00CC486C"/>
    <w:rsid w:val="00CC4F33"/>
    <w:rsid w:val="00CC5712"/>
    <w:rsid w:val="00CC5EAD"/>
    <w:rsid w:val="00CC6374"/>
    <w:rsid w:val="00CC6416"/>
    <w:rsid w:val="00CD1A1D"/>
    <w:rsid w:val="00CD38EB"/>
    <w:rsid w:val="00CD4852"/>
    <w:rsid w:val="00CD6261"/>
    <w:rsid w:val="00CD641A"/>
    <w:rsid w:val="00CD66B0"/>
    <w:rsid w:val="00CE0D41"/>
    <w:rsid w:val="00CE1021"/>
    <w:rsid w:val="00CE1522"/>
    <w:rsid w:val="00CE2411"/>
    <w:rsid w:val="00CE5867"/>
    <w:rsid w:val="00CE5D37"/>
    <w:rsid w:val="00CE5E18"/>
    <w:rsid w:val="00CE65B7"/>
    <w:rsid w:val="00CE6C4A"/>
    <w:rsid w:val="00CE7B92"/>
    <w:rsid w:val="00CF0269"/>
    <w:rsid w:val="00CF0A39"/>
    <w:rsid w:val="00CF1C6A"/>
    <w:rsid w:val="00CF3F6C"/>
    <w:rsid w:val="00CF4399"/>
    <w:rsid w:val="00CF4698"/>
    <w:rsid w:val="00D012E9"/>
    <w:rsid w:val="00D02129"/>
    <w:rsid w:val="00D06004"/>
    <w:rsid w:val="00D06365"/>
    <w:rsid w:val="00D06810"/>
    <w:rsid w:val="00D07697"/>
    <w:rsid w:val="00D07847"/>
    <w:rsid w:val="00D07D37"/>
    <w:rsid w:val="00D114E2"/>
    <w:rsid w:val="00D11BC6"/>
    <w:rsid w:val="00D13CC9"/>
    <w:rsid w:val="00D145C0"/>
    <w:rsid w:val="00D23958"/>
    <w:rsid w:val="00D257F2"/>
    <w:rsid w:val="00D307EB"/>
    <w:rsid w:val="00D3178A"/>
    <w:rsid w:val="00D33A67"/>
    <w:rsid w:val="00D3438D"/>
    <w:rsid w:val="00D36BA8"/>
    <w:rsid w:val="00D36EE9"/>
    <w:rsid w:val="00D420E5"/>
    <w:rsid w:val="00D42AF1"/>
    <w:rsid w:val="00D448C6"/>
    <w:rsid w:val="00D45AD0"/>
    <w:rsid w:val="00D47205"/>
    <w:rsid w:val="00D52EFA"/>
    <w:rsid w:val="00D5335A"/>
    <w:rsid w:val="00D56165"/>
    <w:rsid w:val="00D572F0"/>
    <w:rsid w:val="00D61C7D"/>
    <w:rsid w:val="00D62A69"/>
    <w:rsid w:val="00D63C84"/>
    <w:rsid w:val="00D64F72"/>
    <w:rsid w:val="00D651F8"/>
    <w:rsid w:val="00D67BB0"/>
    <w:rsid w:val="00D67CBB"/>
    <w:rsid w:val="00D7224C"/>
    <w:rsid w:val="00D7373B"/>
    <w:rsid w:val="00D749FC"/>
    <w:rsid w:val="00D753AA"/>
    <w:rsid w:val="00D77FFB"/>
    <w:rsid w:val="00D8195A"/>
    <w:rsid w:val="00D81A28"/>
    <w:rsid w:val="00D8408B"/>
    <w:rsid w:val="00D84D47"/>
    <w:rsid w:val="00D866F4"/>
    <w:rsid w:val="00D867C3"/>
    <w:rsid w:val="00D903E0"/>
    <w:rsid w:val="00D93350"/>
    <w:rsid w:val="00D94DD7"/>
    <w:rsid w:val="00D95874"/>
    <w:rsid w:val="00D95FDE"/>
    <w:rsid w:val="00D96DE0"/>
    <w:rsid w:val="00D97561"/>
    <w:rsid w:val="00DA0157"/>
    <w:rsid w:val="00DA1410"/>
    <w:rsid w:val="00DA2CAE"/>
    <w:rsid w:val="00DA4AAA"/>
    <w:rsid w:val="00DA6244"/>
    <w:rsid w:val="00DA781A"/>
    <w:rsid w:val="00DA7A0E"/>
    <w:rsid w:val="00DB22C6"/>
    <w:rsid w:val="00DB4305"/>
    <w:rsid w:val="00DB48EC"/>
    <w:rsid w:val="00DB4AF5"/>
    <w:rsid w:val="00DB4FD6"/>
    <w:rsid w:val="00DB62D6"/>
    <w:rsid w:val="00DB7288"/>
    <w:rsid w:val="00DB770A"/>
    <w:rsid w:val="00DC1027"/>
    <w:rsid w:val="00DC2E96"/>
    <w:rsid w:val="00DC2F63"/>
    <w:rsid w:val="00DC531E"/>
    <w:rsid w:val="00DC5B6F"/>
    <w:rsid w:val="00DC6DBE"/>
    <w:rsid w:val="00DC6F11"/>
    <w:rsid w:val="00DD00E5"/>
    <w:rsid w:val="00DD1591"/>
    <w:rsid w:val="00DD18D3"/>
    <w:rsid w:val="00DD2527"/>
    <w:rsid w:val="00DD44C1"/>
    <w:rsid w:val="00DD4655"/>
    <w:rsid w:val="00DD5C81"/>
    <w:rsid w:val="00DD6098"/>
    <w:rsid w:val="00DD6623"/>
    <w:rsid w:val="00DD67AE"/>
    <w:rsid w:val="00DD6FF9"/>
    <w:rsid w:val="00DD7DC4"/>
    <w:rsid w:val="00DE0474"/>
    <w:rsid w:val="00DE3739"/>
    <w:rsid w:val="00DE3861"/>
    <w:rsid w:val="00DE431B"/>
    <w:rsid w:val="00DE7014"/>
    <w:rsid w:val="00DF0BD7"/>
    <w:rsid w:val="00DF18DB"/>
    <w:rsid w:val="00DF1B8B"/>
    <w:rsid w:val="00DF1D28"/>
    <w:rsid w:val="00DF25CC"/>
    <w:rsid w:val="00DF2EAB"/>
    <w:rsid w:val="00DF3D95"/>
    <w:rsid w:val="00E0013E"/>
    <w:rsid w:val="00E00225"/>
    <w:rsid w:val="00E01996"/>
    <w:rsid w:val="00E02DB9"/>
    <w:rsid w:val="00E03BE2"/>
    <w:rsid w:val="00E055D1"/>
    <w:rsid w:val="00E05ED0"/>
    <w:rsid w:val="00E100ED"/>
    <w:rsid w:val="00E10AD9"/>
    <w:rsid w:val="00E117C3"/>
    <w:rsid w:val="00E12C35"/>
    <w:rsid w:val="00E1308A"/>
    <w:rsid w:val="00E14D28"/>
    <w:rsid w:val="00E14F4D"/>
    <w:rsid w:val="00E163E8"/>
    <w:rsid w:val="00E16B77"/>
    <w:rsid w:val="00E1D870"/>
    <w:rsid w:val="00E202EC"/>
    <w:rsid w:val="00E20BF8"/>
    <w:rsid w:val="00E219C9"/>
    <w:rsid w:val="00E26B02"/>
    <w:rsid w:val="00E26B71"/>
    <w:rsid w:val="00E30AC8"/>
    <w:rsid w:val="00E314E1"/>
    <w:rsid w:val="00E32BC2"/>
    <w:rsid w:val="00E4072D"/>
    <w:rsid w:val="00E40848"/>
    <w:rsid w:val="00E408BE"/>
    <w:rsid w:val="00E437D7"/>
    <w:rsid w:val="00E45F3F"/>
    <w:rsid w:val="00E464A0"/>
    <w:rsid w:val="00E46A7E"/>
    <w:rsid w:val="00E46BF1"/>
    <w:rsid w:val="00E46C03"/>
    <w:rsid w:val="00E47830"/>
    <w:rsid w:val="00E47FD1"/>
    <w:rsid w:val="00E50D0F"/>
    <w:rsid w:val="00E51485"/>
    <w:rsid w:val="00E5512E"/>
    <w:rsid w:val="00E55518"/>
    <w:rsid w:val="00E56784"/>
    <w:rsid w:val="00E57542"/>
    <w:rsid w:val="00E61614"/>
    <w:rsid w:val="00E616E1"/>
    <w:rsid w:val="00E6500C"/>
    <w:rsid w:val="00E67AEE"/>
    <w:rsid w:val="00E71440"/>
    <w:rsid w:val="00E71C9A"/>
    <w:rsid w:val="00E72FBD"/>
    <w:rsid w:val="00E75C0E"/>
    <w:rsid w:val="00E77C6D"/>
    <w:rsid w:val="00E83D31"/>
    <w:rsid w:val="00E8496A"/>
    <w:rsid w:val="00E84D63"/>
    <w:rsid w:val="00E85752"/>
    <w:rsid w:val="00E90B14"/>
    <w:rsid w:val="00E93680"/>
    <w:rsid w:val="00E9607C"/>
    <w:rsid w:val="00E97ABD"/>
    <w:rsid w:val="00EA1016"/>
    <w:rsid w:val="00EA1253"/>
    <w:rsid w:val="00EA1702"/>
    <w:rsid w:val="00EA1AAF"/>
    <w:rsid w:val="00EA332A"/>
    <w:rsid w:val="00EA35C3"/>
    <w:rsid w:val="00EA38E2"/>
    <w:rsid w:val="00EA483D"/>
    <w:rsid w:val="00EA5222"/>
    <w:rsid w:val="00EA7D94"/>
    <w:rsid w:val="00EB344F"/>
    <w:rsid w:val="00EB4821"/>
    <w:rsid w:val="00EB48BC"/>
    <w:rsid w:val="00EB62AC"/>
    <w:rsid w:val="00EB7563"/>
    <w:rsid w:val="00EC0DD4"/>
    <w:rsid w:val="00EC2B0C"/>
    <w:rsid w:val="00EC49A0"/>
    <w:rsid w:val="00EC4AFE"/>
    <w:rsid w:val="00EC5E28"/>
    <w:rsid w:val="00EC6F97"/>
    <w:rsid w:val="00ED1466"/>
    <w:rsid w:val="00ED2478"/>
    <w:rsid w:val="00ED365B"/>
    <w:rsid w:val="00ED4B9A"/>
    <w:rsid w:val="00EE0299"/>
    <w:rsid w:val="00EE2B4A"/>
    <w:rsid w:val="00EE55BB"/>
    <w:rsid w:val="00EE5CFD"/>
    <w:rsid w:val="00EE7054"/>
    <w:rsid w:val="00EF097B"/>
    <w:rsid w:val="00EF68C1"/>
    <w:rsid w:val="00F02F3C"/>
    <w:rsid w:val="00F04B37"/>
    <w:rsid w:val="00F04EB2"/>
    <w:rsid w:val="00F055AA"/>
    <w:rsid w:val="00F06552"/>
    <w:rsid w:val="00F06AC4"/>
    <w:rsid w:val="00F0778D"/>
    <w:rsid w:val="00F079BE"/>
    <w:rsid w:val="00F10C17"/>
    <w:rsid w:val="00F11E70"/>
    <w:rsid w:val="00F14B44"/>
    <w:rsid w:val="00F15447"/>
    <w:rsid w:val="00F168DC"/>
    <w:rsid w:val="00F16918"/>
    <w:rsid w:val="00F213BB"/>
    <w:rsid w:val="00F2317F"/>
    <w:rsid w:val="00F2349D"/>
    <w:rsid w:val="00F257EA"/>
    <w:rsid w:val="00F26E46"/>
    <w:rsid w:val="00F27BF2"/>
    <w:rsid w:val="00F30647"/>
    <w:rsid w:val="00F3271E"/>
    <w:rsid w:val="00F329CF"/>
    <w:rsid w:val="00F3337A"/>
    <w:rsid w:val="00F33CDC"/>
    <w:rsid w:val="00F3411C"/>
    <w:rsid w:val="00F35EC5"/>
    <w:rsid w:val="00F400E9"/>
    <w:rsid w:val="00F411E8"/>
    <w:rsid w:val="00F41459"/>
    <w:rsid w:val="00F429AD"/>
    <w:rsid w:val="00F43AAA"/>
    <w:rsid w:val="00F43DE1"/>
    <w:rsid w:val="00F443C2"/>
    <w:rsid w:val="00F44AD4"/>
    <w:rsid w:val="00F44B36"/>
    <w:rsid w:val="00F45593"/>
    <w:rsid w:val="00F4678F"/>
    <w:rsid w:val="00F46B95"/>
    <w:rsid w:val="00F536D6"/>
    <w:rsid w:val="00F543AB"/>
    <w:rsid w:val="00F5484A"/>
    <w:rsid w:val="00F55A13"/>
    <w:rsid w:val="00F56A1A"/>
    <w:rsid w:val="00F5751A"/>
    <w:rsid w:val="00F57E84"/>
    <w:rsid w:val="00F60C2E"/>
    <w:rsid w:val="00F62016"/>
    <w:rsid w:val="00F645D5"/>
    <w:rsid w:val="00F65826"/>
    <w:rsid w:val="00F67ABE"/>
    <w:rsid w:val="00F67F07"/>
    <w:rsid w:val="00F7017D"/>
    <w:rsid w:val="00F7062B"/>
    <w:rsid w:val="00F71D98"/>
    <w:rsid w:val="00F73EB4"/>
    <w:rsid w:val="00F76058"/>
    <w:rsid w:val="00F7679F"/>
    <w:rsid w:val="00F82456"/>
    <w:rsid w:val="00F82F05"/>
    <w:rsid w:val="00F8469E"/>
    <w:rsid w:val="00F84950"/>
    <w:rsid w:val="00F84F06"/>
    <w:rsid w:val="00F857B4"/>
    <w:rsid w:val="00F87F38"/>
    <w:rsid w:val="00F87FE6"/>
    <w:rsid w:val="00F907A9"/>
    <w:rsid w:val="00F913C8"/>
    <w:rsid w:val="00F924E7"/>
    <w:rsid w:val="00F93A20"/>
    <w:rsid w:val="00FA0DB4"/>
    <w:rsid w:val="00FA2CE6"/>
    <w:rsid w:val="00FA32BB"/>
    <w:rsid w:val="00FA3774"/>
    <w:rsid w:val="00FA45F3"/>
    <w:rsid w:val="00FA5145"/>
    <w:rsid w:val="00FA5690"/>
    <w:rsid w:val="00FA7FEC"/>
    <w:rsid w:val="00FB07A9"/>
    <w:rsid w:val="00FB14BD"/>
    <w:rsid w:val="00FB4A4B"/>
    <w:rsid w:val="00FB535E"/>
    <w:rsid w:val="00FC01A8"/>
    <w:rsid w:val="00FC2229"/>
    <w:rsid w:val="00FC4EC9"/>
    <w:rsid w:val="00FC7544"/>
    <w:rsid w:val="00FC7997"/>
    <w:rsid w:val="00FD0C23"/>
    <w:rsid w:val="00FD19E8"/>
    <w:rsid w:val="00FD1A57"/>
    <w:rsid w:val="00FD6BEF"/>
    <w:rsid w:val="00FD7599"/>
    <w:rsid w:val="00FD77F4"/>
    <w:rsid w:val="00FE0C9B"/>
    <w:rsid w:val="00FE107C"/>
    <w:rsid w:val="00FE296B"/>
    <w:rsid w:val="00FE318D"/>
    <w:rsid w:val="00FE51C3"/>
    <w:rsid w:val="00FE7AF1"/>
    <w:rsid w:val="00FE7DE2"/>
    <w:rsid w:val="00FF227A"/>
    <w:rsid w:val="00FF2AE1"/>
    <w:rsid w:val="00FF3E42"/>
    <w:rsid w:val="00FF64EB"/>
    <w:rsid w:val="00FF7DC9"/>
    <w:rsid w:val="010AC4AB"/>
    <w:rsid w:val="0157D761"/>
    <w:rsid w:val="01675A77"/>
    <w:rsid w:val="01C5EDA0"/>
    <w:rsid w:val="01CCC886"/>
    <w:rsid w:val="01D1DCFC"/>
    <w:rsid w:val="020CAAF7"/>
    <w:rsid w:val="023F01A5"/>
    <w:rsid w:val="026C178B"/>
    <w:rsid w:val="02710C06"/>
    <w:rsid w:val="02A8255F"/>
    <w:rsid w:val="02A8DD58"/>
    <w:rsid w:val="02C776FE"/>
    <w:rsid w:val="03480863"/>
    <w:rsid w:val="0393F4A4"/>
    <w:rsid w:val="040EF590"/>
    <w:rsid w:val="04276653"/>
    <w:rsid w:val="0474FF76"/>
    <w:rsid w:val="048240B6"/>
    <w:rsid w:val="049D0CCA"/>
    <w:rsid w:val="050D4717"/>
    <w:rsid w:val="058857BF"/>
    <w:rsid w:val="0603F9AF"/>
    <w:rsid w:val="0613D189"/>
    <w:rsid w:val="0668C790"/>
    <w:rsid w:val="06737C44"/>
    <w:rsid w:val="06B694EC"/>
    <w:rsid w:val="06C5E2D1"/>
    <w:rsid w:val="0744273A"/>
    <w:rsid w:val="07522FD2"/>
    <w:rsid w:val="07541473"/>
    <w:rsid w:val="075423B8"/>
    <w:rsid w:val="077B03C6"/>
    <w:rsid w:val="077CD3CA"/>
    <w:rsid w:val="08263863"/>
    <w:rsid w:val="084E8AEA"/>
    <w:rsid w:val="084F78EA"/>
    <w:rsid w:val="08B52F95"/>
    <w:rsid w:val="08C48AC4"/>
    <w:rsid w:val="09157720"/>
    <w:rsid w:val="09906058"/>
    <w:rsid w:val="09E555E0"/>
    <w:rsid w:val="09FA5B12"/>
    <w:rsid w:val="09FF6D8D"/>
    <w:rsid w:val="0A21B798"/>
    <w:rsid w:val="0A35ACD3"/>
    <w:rsid w:val="0A4E7F1E"/>
    <w:rsid w:val="0AAB5DF7"/>
    <w:rsid w:val="0AB2F885"/>
    <w:rsid w:val="0AC37B0A"/>
    <w:rsid w:val="0ADE589F"/>
    <w:rsid w:val="0B039559"/>
    <w:rsid w:val="0B1BBB01"/>
    <w:rsid w:val="0BC709F1"/>
    <w:rsid w:val="0C04AFFD"/>
    <w:rsid w:val="0C1BBAB2"/>
    <w:rsid w:val="0C423D3A"/>
    <w:rsid w:val="0CFE5E3F"/>
    <w:rsid w:val="0D0D163B"/>
    <w:rsid w:val="0D27BE1E"/>
    <w:rsid w:val="0D57B2D7"/>
    <w:rsid w:val="0D65249E"/>
    <w:rsid w:val="0DA8BD37"/>
    <w:rsid w:val="0DB990DC"/>
    <w:rsid w:val="0DFAE84B"/>
    <w:rsid w:val="0E030C0F"/>
    <w:rsid w:val="0E36030B"/>
    <w:rsid w:val="0E483CB7"/>
    <w:rsid w:val="0E4D9E84"/>
    <w:rsid w:val="0E7040D7"/>
    <w:rsid w:val="0ED9380E"/>
    <w:rsid w:val="0F130BB8"/>
    <w:rsid w:val="102FD8B4"/>
    <w:rsid w:val="10336020"/>
    <w:rsid w:val="10820CEB"/>
    <w:rsid w:val="10B3C229"/>
    <w:rsid w:val="10BB031F"/>
    <w:rsid w:val="10FF0C65"/>
    <w:rsid w:val="11819B53"/>
    <w:rsid w:val="11EB4880"/>
    <w:rsid w:val="11EE4A3B"/>
    <w:rsid w:val="120B5D46"/>
    <w:rsid w:val="121BF539"/>
    <w:rsid w:val="129361AF"/>
    <w:rsid w:val="12B18994"/>
    <w:rsid w:val="12D63A8B"/>
    <w:rsid w:val="12FD97D1"/>
    <w:rsid w:val="132EF453"/>
    <w:rsid w:val="136D1291"/>
    <w:rsid w:val="136D348E"/>
    <w:rsid w:val="13E2FD0B"/>
    <w:rsid w:val="14188321"/>
    <w:rsid w:val="14528C16"/>
    <w:rsid w:val="1452D64B"/>
    <w:rsid w:val="1460DDA5"/>
    <w:rsid w:val="146FFA31"/>
    <w:rsid w:val="14BF1882"/>
    <w:rsid w:val="14E0892C"/>
    <w:rsid w:val="1510520F"/>
    <w:rsid w:val="1571E988"/>
    <w:rsid w:val="159E133A"/>
    <w:rsid w:val="159ECED1"/>
    <w:rsid w:val="15B3D7C3"/>
    <w:rsid w:val="15CFC930"/>
    <w:rsid w:val="15E01694"/>
    <w:rsid w:val="15F46070"/>
    <w:rsid w:val="16567BD9"/>
    <w:rsid w:val="16995632"/>
    <w:rsid w:val="173771DC"/>
    <w:rsid w:val="17930A8F"/>
    <w:rsid w:val="179332B8"/>
    <w:rsid w:val="17D8B039"/>
    <w:rsid w:val="17DE6DD8"/>
    <w:rsid w:val="17F14A94"/>
    <w:rsid w:val="17F49980"/>
    <w:rsid w:val="1830281A"/>
    <w:rsid w:val="1848A6B5"/>
    <w:rsid w:val="18C63D97"/>
    <w:rsid w:val="1900707C"/>
    <w:rsid w:val="19513395"/>
    <w:rsid w:val="19B5C40C"/>
    <w:rsid w:val="19E4F960"/>
    <w:rsid w:val="19F5F5D7"/>
    <w:rsid w:val="1A3790AA"/>
    <w:rsid w:val="1A3D3EE1"/>
    <w:rsid w:val="1A631014"/>
    <w:rsid w:val="1AE14A32"/>
    <w:rsid w:val="1AF1A329"/>
    <w:rsid w:val="1AFB5150"/>
    <w:rsid w:val="1B36A9BE"/>
    <w:rsid w:val="1B7A6476"/>
    <w:rsid w:val="1B7FC458"/>
    <w:rsid w:val="1B9E9B8D"/>
    <w:rsid w:val="1BDDED62"/>
    <w:rsid w:val="1BF4DB76"/>
    <w:rsid w:val="1BF635DF"/>
    <w:rsid w:val="1C1C8112"/>
    <w:rsid w:val="1C53823A"/>
    <w:rsid w:val="1D5CFFA1"/>
    <w:rsid w:val="1DBE0320"/>
    <w:rsid w:val="1E09F1F2"/>
    <w:rsid w:val="1E100F11"/>
    <w:rsid w:val="1E8B35F0"/>
    <w:rsid w:val="1E99FB3F"/>
    <w:rsid w:val="1EA6CDB9"/>
    <w:rsid w:val="1F04CA6B"/>
    <w:rsid w:val="1F2A3454"/>
    <w:rsid w:val="1F4235C2"/>
    <w:rsid w:val="1F89EE10"/>
    <w:rsid w:val="1FCAB5FC"/>
    <w:rsid w:val="1FCBA0D0"/>
    <w:rsid w:val="1FE0974C"/>
    <w:rsid w:val="1FE3EC5B"/>
    <w:rsid w:val="1FF77DF5"/>
    <w:rsid w:val="2008527E"/>
    <w:rsid w:val="20146CDC"/>
    <w:rsid w:val="20178809"/>
    <w:rsid w:val="206521D8"/>
    <w:rsid w:val="20844059"/>
    <w:rsid w:val="209BD190"/>
    <w:rsid w:val="20A58F13"/>
    <w:rsid w:val="20C4FE24"/>
    <w:rsid w:val="20CCCE1A"/>
    <w:rsid w:val="20D0AB5C"/>
    <w:rsid w:val="20E45D9A"/>
    <w:rsid w:val="2232B6E1"/>
    <w:rsid w:val="22912E3D"/>
    <w:rsid w:val="22CDB701"/>
    <w:rsid w:val="231C997F"/>
    <w:rsid w:val="23979E47"/>
    <w:rsid w:val="2398908D"/>
    <w:rsid w:val="23999C82"/>
    <w:rsid w:val="23B562B0"/>
    <w:rsid w:val="24354754"/>
    <w:rsid w:val="24468CEF"/>
    <w:rsid w:val="246BE2A5"/>
    <w:rsid w:val="25303AB7"/>
    <w:rsid w:val="2566A66F"/>
    <w:rsid w:val="25800F79"/>
    <w:rsid w:val="25AA5DCD"/>
    <w:rsid w:val="262E4D75"/>
    <w:rsid w:val="26808A3F"/>
    <w:rsid w:val="26CCDB78"/>
    <w:rsid w:val="26F1AE9B"/>
    <w:rsid w:val="26FC9659"/>
    <w:rsid w:val="2738BAAC"/>
    <w:rsid w:val="27B9B280"/>
    <w:rsid w:val="27C00711"/>
    <w:rsid w:val="27EB0468"/>
    <w:rsid w:val="27FD0F79"/>
    <w:rsid w:val="281EA30C"/>
    <w:rsid w:val="281F7635"/>
    <w:rsid w:val="293F3EE3"/>
    <w:rsid w:val="29F11DF8"/>
    <w:rsid w:val="2AE94421"/>
    <w:rsid w:val="2B88ACCA"/>
    <w:rsid w:val="2BA0B525"/>
    <w:rsid w:val="2BD987B9"/>
    <w:rsid w:val="2C615C4E"/>
    <w:rsid w:val="2C70741A"/>
    <w:rsid w:val="2C7226DF"/>
    <w:rsid w:val="2C81D471"/>
    <w:rsid w:val="2CCB47B1"/>
    <w:rsid w:val="2D56D3ED"/>
    <w:rsid w:val="2D7DD166"/>
    <w:rsid w:val="2D8C1380"/>
    <w:rsid w:val="2DE79AD2"/>
    <w:rsid w:val="2E1B3EE3"/>
    <w:rsid w:val="2E22C3A2"/>
    <w:rsid w:val="2E59C3F3"/>
    <w:rsid w:val="2E90F9D3"/>
    <w:rsid w:val="2EEC5C51"/>
    <w:rsid w:val="2EF7D528"/>
    <w:rsid w:val="2F327E22"/>
    <w:rsid w:val="2F62B31F"/>
    <w:rsid w:val="2FF0EBAB"/>
    <w:rsid w:val="3024E2CE"/>
    <w:rsid w:val="3067BB43"/>
    <w:rsid w:val="306DBDA0"/>
    <w:rsid w:val="30A79E75"/>
    <w:rsid w:val="30BAD4C5"/>
    <w:rsid w:val="30BD35F0"/>
    <w:rsid w:val="315309C6"/>
    <w:rsid w:val="31B47522"/>
    <w:rsid w:val="31FA4BAA"/>
    <w:rsid w:val="323E27FF"/>
    <w:rsid w:val="328A86EF"/>
    <w:rsid w:val="32D1BCB2"/>
    <w:rsid w:val="3325BD32"/>
    <w:rsid w:val="33D13054"/>
    <w:rsid w:val="344D727F"/>
    <w:rsid w:val="34967B4F"/>
    <w:rsid w:val="34A85BA4"/>
    <w:rsid w:val="35045979"/>
    <w:rsid w:val="351C6C37"/>
    <w:rsid w:val="354F2A46"/>
    <w:rsid w:val="35CC788B"/>
    <w:rsid w:val="36ADCBC2"/>
    <w:rsid w:val="36C98E4E"/>
    <w:rsid w:val="37778E8C"/>
    <w:rsid w:val="37D2AEE8"/>
    <w:rsid w:val="384AD730"/>
    <w:rsid w:val="38639B7A"/>
    <w:rsid w:val="38843819"/>
    <w:rsid w:val="3895FE3D"/>
    <w:rsid w:val="38EBFC17"/>
    <w:rsid w:val="392D39A8"/>
    <w:rsid w:val="392E9176"/>
    <w:rsid w:val="39CD1284"/>
    <w:rsid w:val="39F7978B"/>
    <w:rsid w:val="3A459975"/>
    <w:rsid w:val="3ACDE40F"/>
    <w:rsid w:val="3B014411"/>
    <w:rsid w:val="3B2BA96C"/>
    <w:rsid w:val="3B2C36F2"/>
    <w:rsid w:val="3B4313C5"/>
    <w:rsid w:val="3B7143A0"/>
    <w:rsid w:val="3BBD635D"/>
    <w:rsid w:val="3BF89E03"/>
    <w:rsid w:val="3C2CD417"/>
    <w:rsid w:val="3C59EF8B"/>
    <w:rsid w:val="3C950400"/>
    <w:rsid w:val="3CD50297"/>
    <w:rsid w:val="3CE1920E"/>
    <w:rsid w:val="3D0C2C0E"/>
    <w:rsid w:val="3D358E8F"/>
    <w:rsid w:val="3D916DE3"/>
    <w:rsid w:val="3D9C814B"/>
    <w:rsid w:val="3DEE7E97"/>
    <w:rsid w:val="3E4A3D4D"/>
    <w:rsid w:val="3E5552C3"/>
    <w:rsid w:val="3E630BD1"/>
    <w:rsid w:val="3E94C459"/>
    <w:rsid w:val="3E95E1F7"/>
    <w:rsid w:val="3F65FD2A"/>
    <w:rsid w:val="3F79D45C"/>
    <w:rsid w:val="3F809BEF"/>
    <w:rsid w:val="3F831997"/>
    <w:rsid w:val="3FEEB595"/>
    <w:rsid w:val="40764BD3"/>
    <w:rsid w:val="409D6BC9"/>
    <w:rsid w:val="40BE4344"/>
    <w:rsid w:val="41668101"/>
    <w:rsid w:val="417EA715"/>
    <w:rsid w:val="418CC392"/>
    <w:rsid w:val="41D16386"/>
    <w:rsid w:val="422B04C1"/>
    <w:rsid w:val="4289F3CE"/>
    <w:rsid w:val="42913B97"/>
    <w:rsid w:val="42BE1142"/>
    <w:rsid w:val="434839CD"/>
    <w:rsid w:val="43510C8C"/>
    <w:rsid w:val="435BC7DE"/>
    <w:rsid w:val="4387B820"/>
    <w:rsid w:val="439A6313"/>
    <w:rsid w:val="439F5EDD"/>
    <w:rsid w:val="43A28D90"/>
    <w:rsid w:val="43B51AFE"/>
    <w:rsid w:val="44085610"/>
    <w:rsid w:val="441F7B2F"/>
    <w:rsid w:val="4492C36B"/>
    <w:rsid w:val="44CBF093"/>
    <w:rsid w:val="44E41218"/>
    <w:rsid w:val="45650F42"/>
    <w:rsid w:val="45C3C011"/>
    <w:rsid w:val="45E9A6B8"/>
    <w:rsid w:val="462010AA"/>
    <w:rsid w:val="46211D48"/>
    <w:rsid w:val="4627BF8F"/>
    <w:rsid w:val="4644577B"/>
    <w:rsid w:val="4652B8D9"/>
    <w:rsid w:val="46556808"/>
    <w:rsid w:val="46A9CB3F"/>
    <w:rsid w:val="46B65365"/>
    <w:rsid w:val="46BCD5BE"/>
    <w:rsid w:val="46E9A699"/>
    <w:rsid w:val="46F352C1"/>
    <w:rsid w:val="4781A431"/>
    <w:rsid w:val="4789F10D"/>
    <w:rsid w:val="47D51BD3"/>
    <w:rsid w:val="47D6366B"/>
    <w:rsid w:val="483428BC"/>
    <w:rsid w:val="48668E9C"/>
    <w:rsid w:val="486D230F"/>
    <w:rsid w:val="48A937ED"/>
    <w:rsid w:val="48D2B615"/>
    <w:rsid w:val="48D3FC36"/>
    <w:rsid w:val="48E42CDE"/>
    <w:rsid w:val="4973ADC9"/>
    <w:rsid w:val="49B29F33"/>
    <w:rsid w:val="49BBEC7F"/>
    <w:rsid w:val="49CF870D"/>
    <w:rsid w:val="49D8CE10"/>
    <w:rsid w:val="49E9F4FC"/>
    <w:rsid w:val="4A2E9994"/>
    <w:rsid w:val="4A56D642"/>
    <w:rsid w:val="4A664F4A"/>
    <w:rsid w:val="4AE18F95"/>
    <w:rsid w:val="4B37206E"/>
    <w:rsid w:val="4B621291"/>
    <w:rsid w:val="4C2D947A"/>
    <w:rsid w:val="4C76E851"/>
    <w:rsid w:val="4C7C9208"/>
    <w:rsid w:val="4C916CFE"/>
    <w:rsid w:val="4CCC179E"/>
    <w:rsid w:val="4CE9F369"/>
    <w:rsid w:val="4D1BF15C"/>
    <w:rsid w:val="4D41CF66"/>
    <w:rsid w:val="4DB9A33C"/>
    <w:rsid w:val="4E0AEB89"/>
    <w:rsid w:val="4EF61FB3"/>
    <w:rsid w:val="4F71EEA6"/>
    <w:rsid w:val="4F981432"/>
    <w:rsid w:val="4FB5634A"/>
    <w:rsid w:val="4FB67B71"/>
    <w:rsid w:val="4FB7B908"/>
    <w:rsid w:val="4FCDF755"/>
    <w:rsid w:val="504AA425"/>
    <w:rsid w:val="511B2736"/>
    <w:rsid w:val="514D4AB8"/>
    <w:rsid w:val="5165ACFC"/>
    <w:rsid w:val="518F02C4"/>
    <w:rsid w:val="523255E6"/>
    <w:rsid w:val="524FE840"/>
    <w:rsid w:val="529B993E"/>
    <w:rsid w:val="53117321"/>
    <w:rsid w:val="5335BE16"/>
    <w:rsid w:val="5341F295"/>
    <w:rsid w:val="5391D755"/>
    <w:rsid w:val="53D38318"/>
    <w:rsid w:val="541AC47B"/>
    <w:rsid w:val="5493B998"/>
    <w:rsid w:val="54D6B8D3"/>
    <w:rsid w:val="5533A4D5"/>
    <w:rsid w:val="558DDEAD"/>
    <w:rsid w:val="55B0AD09"/>
    <w:rsid w:val="5637FE61"/>
    <w:rsid w:val="5644E1DB"/>
    <w:rsid w:val="5665CD2D"/>
    <w:rsid w:val="56732519"/>
    <w:rsid w:val="5698A2B9"/>
    <w:rsid w:val="56C1CBC1"/>
    <w:rsid w:val="5713E947"/>
    <w:rsid w:val="57146173"/>
    <w:rsid w:val="57298BB4"/>
    <w:rsid w:val="572FBF63"/>
    <w:rsid w:val="57303097"/>
    <w:rsid w:val="579AC883"/>
    <w:rsid w:val="57F4E346"/>
    <w:rsid w:val="57F8786F"/>
    <w:rsid w:val="5832B56D"/>
    <w:rsid w:val="585D9B4E"/>
    <w:rsid w:val="58949F5B"/>
    <w:rsid w:val="58B86390"/>
    <w:rsid w:val="592542C7"/>
    <w:rsid w:val="593593BE"/>
    <w:rsid w:val="5981046B"/>
    <w:rsid w:val="5985F2CB"/>
    <w:rsid w:val="5A03AEEF"/>
    <w:rsid w:val="5A3C6D5B"/>
    <w:rsid w:val="5A471B75"/>
    <w:rsid w:val="5AEE9A1C"/>
    <w:rsid w:val="5AFD67D0"/>
    <w:rsid w:val="5B3B2DD3"/>
    <w:rsid w:val="5B52E883"/>
    <w:rsid w:val="5B71C9D8"/>
    <w:rsid w:val="5BFC605E"/>
    <w:rsid w:val="5C917F81"/>
    <w:rsid w:val="5C9EF798"/>
    <w:rsid w:val="5CD82BCA"/>
    <w:rsid w:val="5CE713AE"/>
    <w:rsid w:val="5D394D3E"/>
    <w:rsid w:val="5D6CC105"/>
    <w:rsid w:val="5D8275E4"/>
    <w:rsid w:val="5D85A23E"/>
    <w:rsid w:val="5DB9213A"/>
    <w:rsid w:val="5DFAFAB8"/>
    <w:rsid w:val="5E4C12FC"/>
    <w:rsid w:val="5E7EB6EE"/>
    <w:rsid w:val="5EF03197"/>
    <w:rsid w:val="5F2A0C3D"/>
    <w:rsid w:val="5F33681E"/>
    <w:rsid w:val="5F4C78C4"/>
    <w:rsid w:val="5F762BE5"/>
    <w:rsid w:val="5FF4E79C"/>
    <w:rsid w:val="604EA034"/>
    <w:rsid w:val="60781C29"/>
    <w:rsid w:val="60CCB9B4"/>
    <w:rsid w:val="60EA4CDE"/>
    <w:rsid w:val="6135B63F"/>
    <w:rsid w:val="61365F62"/>
    <w:rsid w:val="61597114"/>
    <w:rsid w:val="61603023"/>
    <w:rsid w:val="61ED1AC9"/>
    <w:rsid w:val="62337E96"/>
    <w:rsid w:val="624ED6C7"/>
    <w:rsid w:val="625E0BBD"/>
    <w:rsid w:val="62C8D601"/>
    <w:rsid w:val="62CDC623"/>
    <w:rsid w:val="62E56B8E"/>
    <w:rsid w:val="630967C4"/>
    <w:rsid w:val="632B8FC1"/>
    <w:rsid w:val="6379A5C5"/>
    <w:rsid w:val="63CBB58A"/>
    <w:rsid w:val="63D03260"/>
    <w:rsid w:val="6434D279"/>
    <w:rsid w:val="649C0AE3"/>
    <w:rsid w:val="649E4C47"/>
    <w:rsid w:val="64B80F62"/>
    <w:rsid w:val="64E42438"/>
    <w:rsid w:val="65461655"/>
    <w:rsid w:val="65B6967B"/>
    <w:rsid w:val="65B725D6"/>
    <w:rsid w:val="65C6EE82"/>
    <w:rsid w:val="65EDEEB3"/>
    <w:rsid w:val="6610D066"/>
    <w:rsid w:val="66261C2A"/>
    <w:rsid w:val="664746DD"/>
    <w:rsid w:val="66808AD1"/>
    <w:rsid w:val="66874FDC"/>
    <w:rsid w:val="66A3339F"/>
    <w:rsid w:val="66AB1D2E"/>
    <w:rsid w:val="66AB36C8"/>
    <w:rsid w:val="66E48F31"/>
    <w:rsid w:val="67753ADF"/>
    <w:rsid w:val="678B2D01"/>
    <w:rsid w:val="67940610"/>
    <w:rsid w:val="69283335"/>
    <w:rsid w:val="6957AB0A"/>
    <w:rsid w:val="696810C5"/>
    <w:rsid w:val="69910FE4"/>
    <w:rsid w:val="69967B16"/>
    <w:rsid w:val="699DB46A"/>
    <w:rsid w:val="6A3B4203"/>
    <w:rsid w:val="6A413F9A"/>
    <w:rsid w:val="6A7D8B0A"/>
    <w:rsid w:val="6B469046"/>
    <w:rsid w:val="6B559750"/>
    <w:rsid w:val="6B9494FF"/>
    <w:rsid w:val="6BD92961"/>
    <w:rsid w:val="6C13DAF9"/>
    <w:rsid w:val="6C228E34"/>
    <w:rsid w:val="6C27666E"/>
    <w:rsid w:val="6C5D44D6"/>
    <w:rsid w:val="6CCFA987"/>
    <w:rsid w:val="6D3B0588"/>
    <w:rsid w:val="6D5A17B1"/>
    <w:rsid w:val="6D780193"/>
    <w:rsid w:val="6D9154AF"/>
    <w:rsid w:val="6D9EF448"/>
    <w:rsid w:val="6DADD0C3"/>
    <w:rsid w:val="6DB30B8E"/>
    <w:rsid w:val="6DC78D86"/>
    <w:rsid w:val="6DD13532"/>
    <w:rsid w:val="6E7BDB26"/>
    <w:rsid w:val="6E8A2FDC"/>
    <w:rsid w:val="6EA57ECC"/>
    <w:rsid w:val="6EEEE4EA"/>
    <w:rsid w:val="6EF54A00"/>
    <w:rsid w:val="6F467DD3"/>
    <w:rsid w:val="6F5187A7"/>
    <w:rsid w:val="6FF03C6F"/>
    <w:rsid w:val="700FCA7D"/>
    <w:rsid w:val="70541713"/>
    <w:rsid w:val="70A9B0CB"/>
    <w:rsid w:val="711CF52C"/>
    <w:rsid w:val="71A6BF0C"/>
    <w:rsid w:val="72347F41"/>
    <w:rsid w:val="72383D10"/>
    <w:rsid w:val="727E06FA"/>
    <w:rsid w:val="72A7A617"/>
    <w:rsid w:val="734089C2"/>
    <w:rsid w:val="738DC945"/>
    <w:rsid w:val="73C52F44"/>
    <w:rsid w:val="7476E9BB"/>
    <w:rsid w:val="7488F62F"/>
    <w:rsid w:val="748EAB37"/>
    <w:rsid w:val="7547FDB5"/>
    <w:rsid w:val="7555DEE4"/>
    <w:rsid w:val="755D6456"/>
    <w:rsid w:val="756E0140"/>
    <w:rsid w:val="76166FD9"/>
    <w:rsid w:val="762842C6"/>
    <w:rsid w:val="7639388F"/>
    <w:rsid w:val="763AC2F2"/>
    <w:rsid w:val="76C15EDF"/>
    <w:rsid w:val="76D5F0A4"/>
    <w:rsid w:val="77445A85"/>
    <w:rsid w:val="77445FAA"/>
    <w:rsid w:val="77A6D52E"/>
    <w:rsid w:val="77BB2E5F"/>
    <w:rsid w:val="78138D47"/>
    <w:rsid w:val="7834107C"/>
    <w:rsid w:val="7895988E"/>
    <w:rsid w:val="78D5A120"/>
    <w:rsid w:val="78DF0476"/>
    <w:rsid w:val="7907B743"/>
    <w:rsid w:val="79524EF9"/>
    <w:rsid w:val="79C40C05"/>
    <w:rsid w:val="79FC3D8E"/>
    <w:rsid w:val="7A44086F"/>
    <w:rsid w:val="7A8677CE"/>
    <w:rsid w:val="7AA8285F"/>
    <w:rsid w:val="7B03D7F5"/>
    <w:rsid w:val="7B287035"/>
    <w:rsid w:val="7B83E736"/>
    <w:rsid w:val="7B87EDA5"/>
    <w:rsid w:val="7B9801AC"/>
    <w:rsid w:val="7BAA6AF4"/>
    <w:rsid w:val="7BAF0BCF"/>
    <w:rsid w:val="7C029307"/>
    <w:rsid w:val="7C422E40"/>
    <w:rsid w:val="7C5ED8E8"/>
    <w:rsid w:val="7C693012"/>
    <w:rsid w:val="7CD59514"/>
    <w:rsid w:val="7D1A98B4"/>
    <w:rsid w:val="7D398712"/>
    <w:rsid w:val="7DF686C6"/>
    <w:rsid w:val="7E33F061"/>
    <w:rsid w:val="7E5EDBD0"/>
    <w:rsid w:val="7E979B81"/>
    <w:rsid w:val="7EA38885"/>
    <w:rsid w:val="7EA74C25"/>
    <w:rsid w:val="7ED017FD"/>
    <w:rsid w:val="7F33BC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17AC4"/>
  <w15:chartTrackingRefBased/>
  <w15:docId w15:val="{5954D4CF-2A3E-4EDE-9BB4-11C5766F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471"/>
  </w:style>
  <w:style w:type="paragraph" w:styleId="Heading1">
    <w:name w:val="heading 1"/>
    <w:basedOn w:val="Normal"/>
    <w:next w:val="Normal"/>
    <w:link w:val="Heading1Char"/>
    <w:uiPriority w:val="9"/>
    <w:qFormat/>
    <w:rsid w:val="00651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1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1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471"/>
    <w:rPr>
      <w:rFonts w:eastAsiaTheme="majorEastAsia" w:cstheme="majorBidi"/>
      <w:color w:val="272727" w:themeColor="text1" w:themeTint="D8"/>
    </w:rPr>
  </w:style>
  <w:style w:type="paragraph" w:styleId="Title">
    <w:name w:val="Title"/>
    <w:basedOn w:val="Normal"/>
    <w:next w:val="Normal"/>
    <w:link w:val="TitleChar"/>
    <w:uiPriority w:val="10"/>
    <w:qFormat/>
    <w:rsid w:val="00651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471"/>
    <w:pPr>
      <w:spacing w:before="160"/>
      <w:jc w:val="center"/>
    </w:pPr>
    <w:rPr>
      <w:i/>
      <w:iCs/>
      <w:color w:val="404040" w:themeColor="text1" w:themeTint="BF"/>
    </w:rPr>
  </w:style>
  <w:style w:type="character" w:customStyle="1" w:styleId="QuoteChar">
    <w:name w:val="Quote Char"/>
    <w:basedOn w:val="DefaultParagraphFont"/>
    <w:link w:val="Quote"/>
    <w:uiPriority w:val="29"/>
    <w:rsid w:val="00651471"/>
    <w:rPr>
      <w:i/>
      <w:iCs/>
      <w:color w:val="404040" w:themeColor="text1" w:themeTint="BF"/>
    </w:rPr>
  </w:style>
  <w:style w:type="paragraph" w:styleId="ListParagraph">
    <w:name w:val="List Paragraph"/>
    <w:basedOn w:val="Normal"/>
    <w:uiPriority w:val="34"/>
    <w:qFormat/>
    <w:rsid w:val="00651471"/>
    <w:pPr>
      <w:ind w:left="720"/>
      <w:contextualSpacing/>
    </w:pPr>
  </w:style>
  <w:style w:type="character" w:styleId="IntenseEmphasis">
    <w:name w:val="Intense Emphasis"/>
    <w:basedOn w:val="DefaultParagraphFont"/>
    <w:uiPriority w:val="21"/>
    <w:qFormat/>
    <w:rsid w:val="00651471"/>
    <w:rPr>
      <w:i/>
      <w:iCs/>
      <w:color w:val="0F4761" w:themeColor="accent1" w:themeShade="BF"/>
    </w:rPr>
  </w:style>
  <w:style w:type="paragraph" w:styleId="IntenseQuote">
    <w:name w:val="Intense Quote"/>
    <w:basedOn w:val="Normal"/>
    <w:next w:val="Normal"/>
    <w:link w:val="IntenseQuoteChar"/>
    <w:uiPriority w:val="30"/>
    <w:qFormat/>
    <w:rsid w:val="00651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471"/>
    <w:rPr>
      <w:i/>
      <w:iCs/>
      <w:color w:val="0F4761" w:themeColor="accent1" w:themeShade="BF"/>
    </w:rPr>
  </w:style>
  <w:style w:type="character" w:styleId="IntenseReference">
    <w:name w:val="Intense Reference"/>
    <w:basedOn w:val="DefaultParagraphFont"/>
    <w:uiPriority w:val="32"/>
    <w:qFormat/>
    <w:rsid w:val="00651471"/>
    <w:rPr>
      <w:b/>
      <w:bCs/>
      <w:smallCaps/>
      <w:color w:val="0F4761" w:themeColor="accent1" w:themeShade="BF"/>
      <w:spacing w:val="5"/>
    </w:rPr>
  </w:style>
  <w:style w:type="paragraph" w:customStyle="1" w:styleId="font-claude-response-body">
    <w:name w:val="font-claude-response-body"/>
    <w:basedOn w:val="Normal"/>
    <w:rsid w:val="006514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51471"/>
    <w:rPr>
      <w:b/>
      <w:bCs/>
    </w:rPr>
  </w:style>
  <w:style w:type="paragraph" w:styleId="Footer">
    <w:name w:val="footer"/>
    <w:basedOn w:val="Normal"/>
    <w:link w:val="FooterChar"/>
    <w:uiPriority w:val="99"/>
    <w:unhideWhenUsed/>
    <w:rsid w:val="00651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471"/>
  </w:style>
  <w:style w:type="paragraph" w:styleId="FootnoteText">
    <w:name w:val="footnote text"/>
    <w:basedOn w:val="Normal"/>
    <w:link w:val="FootnoteTextChar"/>
    <w:uiPriority w:val="99"/>
    <w:semiHidden/>
    <w:unhideWhenUsed/>
    <w:rsid w:val="006514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1471"/>
    <w:rPr>
      <w:sz w:val="20"/>
      <w:szCs w:val="20"/>
    </w:rPr>
  </w:style>
  <w:style w:type="character" w:styleId="FootnoteReference">
    <w:name w:val="footnote reference"/>
    <w:basedOn w:val="DefaultParagraphFont"/>
    <w:uiPriority w:val="99"/>
    <w:semiHidden/>
    <w:unhideWhenUsed/>
    <w:rsid w:val="00651471"/>
    <w:rPr>
      <w:vertAlign w:val="superscript"/>
    </w:rPr>
  </w:style>
  <w:style w:type="character" w:styleId="Hyperlink">
    <w:name w:val="Hyperlink"/>
    <w:basedOn w:val="DefaultParagraphFont"/>
    <w:uiPriority w:val="99"/>
    <w:unhideWhenUsed/>
    <w:rsid w:val="00651471"/>
    <w:rPr>
      <w:color w:val="467886" w:themeColor="hyperlink"/>
      <w:u w:val="single"/>
    </w:rPr>
  </w:style>
  <w:style w:type="character" w:styleId="CommentReference">
    <w:name w:val="annotation reference"/>
    <w:basedOn w:val="DefaultParagraphFont"/>
    <w:uiPriority w:val="99"/>
    <w:semiHidden/>
    <w:unhideWhenUsed/>
    <w:rsid w:val="00651471"/>
    <w:rPr>
      <w:sz w:val="16"/>
      <w:szCs w:val="16"/>
    </w:rPr>
  </w:style>
  <w:style w:type="paragraph" w:styleId="CommentText">
    <w:name w:val="annotation text"/>
    <w:basedOn w:val="Normal"/>
    <w:link w:val="CommentTextChar"/>
    <w:uiPriority w:val="99"/>
    <w:unhideWhenUsed/>
    <w:rsid w:val="00651471"/>
    <w:pPr>
      <w:spacing w:line="240" w:lineRule="auto"/>
    </w:pPr>
    <w:rPr>
      <w:sz w:val="20"/>
      <w:szCs w:val="20"/>
    </w:rPr>
  </w:style>
  <w:style w:type="character" w:customStyle="1" w:styleId="CommentTextChar">
    <w:name w:val="Comment Text Char"/>
    <w:basedOn w:val="DefaultParagraphFont"/>
    <w:link w:val="CommentText"/>
    <w:uiPriority w:val="99"/>
    <w:rsid w:val="00651471"/>
    <w:rPr>
      <w:sz w:val="20"/>
      <w:szCs w:val="20"/>
    </w:rPr>
  </w:style>
  <w:style w:type="character" w:styleId="Emphasis">
    <w:name w:val="Emphasis"/>
    <w:basedOn w:val="DefaultParagraphFont"/>
    <w:uiPriority w:val="20"/>
    <w:qFormat/>
    <w:rsid w:val="00651471"/>
    <w:rPr>
      <w:i/>
      <w:iCs/>
    </w:rPr>
  </w:style>
  <w:style w:type="paragraph" w:styleId="NoSpacing">
    <w:name w:val="No Spacing"/>
    <w:uiPriority w:val="1"/>
    <w:qFormat/>
    <w:rsid w:val="00651471"/>
    <w:pPr>
      <w:spacing w:after="0" w:line="240" w:lineRule="auto"/>
    </w:pPr>
    <w:rPr>
      <w:rFonts w:ascii="Arial" w:eastAsia="Arial" w:hAnsi="Arial" w:cs="Arial"/>
      <w:kern w:val="0"/>
      <w:sz w:val="22"/>
      <w:szCs w:val="22"/>
      <w:lang w:val="en" w:eastAsia="en-GB"/>
      <w14:ligatures w14:val="none"/>
    </w:rPr>
  </w:style>
  <w:style w:type="character" w:styleId="UnresolvedMention">
    <w:name w:val="Unresolved Mention"/>
    <w:basedOn w:val="DefaultParagraphFont"/>
    <w:uiPriority w:val="99"/>
    <w:semiHidden/>
    <w:unhideWhenUsed/>
    <w:rsid w:val="002D0C9C"/>
    <w:rPr>
      <w:color w:val="605E5C"/>
      <w:shd w:val="clear" w:color="auto" w:fill="E1DFDD"/>
    </w:rPr>
  </w:style>
  <w:style w:type="character" w:styleId="FollowedHyperlink">
    <w:name w:val="FollowedHyperlink"/>
    <w:basedOn w:val="DefaultParagraphFont"/>
    <w:uiPriority w:val="99"/>
    <w:semiHidden/>
    <w:unhideWhenUsed/>
    <w:rsid w:val="00365D36"/>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7D0D95"/>
    <w:rPr>
      <w:b/>
      <w:bCs/>
    </w:rPr>
  </w:style>
  <w:style w:type="character" w:customStyle="1" w:styleId="CommentSubjectChar">
    <w:name w:val="Comment Subject Char"/>
    <w:basedOn w:val="CommentTextChar"/>
    <w:link w:val="CommentSubject"/>
    <w:uiPriority w:val="99"/>
    <w:semiHidden/>
    <w:rsid w:val="007D0D95"/>
    <w:rPr>
      <w:b/>
      <w:bCs/>
      <w:sz w:val="20"/>
      <w:szCs w:val="20"/>
    </w:rPr>
  </w:style>
  <w:style w:type="paragraph" w:customStyle="1" w:styleId="paragraph">
    <w:name w:val="paragraph"/>
    <w:basedOn w:val="Normal"/>
    <w:rsid w:val="00FC4EC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C4EC9"/>
  </w:style>
  <w:style w:type="character" w:customStyle="1" w:styleId="eop">
    <w:name w:val="eop"/>
    <w:basedOn w:val="DefaultParagraphFont"/>
    <w:rsid w:val="00FC4EC9"/>
  </w:style>
  <w:style w:type="paragraph" w:styleId="TOCHeading">
    <w:name w:val="TOC Heading"/>
    <w:basedOn w:val="Heading1"/>
    <w:next w:val="Normal"/>
    <w:uiPriority w:val="39"/>
    <w:unhideWhenUsed/>
    <w:qFormat/>
    <w:rsid w:val="00FA5690"/>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FA5690"/>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FA5690"/>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FA5690"/>
    <w:pPr>
      <w:spacing w:after="100" w:line="259" w:lineRule="auto"/>
      <w:ind w:left="440"/>
    </w:pPr>
    <w:rPr>
      <w:rFonts w:eastAsiaTheme="minorEastAsia" w:cs="Times New Roman"/>
      <w:kern w:val="0"/>
      <w:sz w:val="22"/>
      <w:szCs w:val="22"/>
      <w:lang w:val="en-US"/>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67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8C9"/>
  </w:style>
  <w:style w:type="paragraph" w:styleId="BodyText">
    <w:name w:val="Body Text"/>
    <w:basedOn w:val="Normal"/>
    <w:link w:val="BodyTextChar"/>
    <w:uiPriority w:val="99"/>
    <w:semiHidden/>
    <w:unhideWhenUsed/>
    <w:rsid w:val="0080340B"/>
    <w:pPr>
      <w:spacing w:after="120"/>
    </w:pPr>
  </w:style>
  <w:style w:type="character" w:customStyle="1" w:styleId="BodyTextChar">
    <w:name w:val="Body Text Char"/>
    <w:basedOn w:val="DefaultParagraphFont"/>
    <w:link w:val="BodyText"/>
    <w:uiPriority w:val="99"/>
    <w:semiHidden/>
    <w:rsid w:val="00803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publications.parliament.uk/pa/cm200304/cmselect/cmconst/211/211.pdf" TargetMode="External"/><Relationship Id="rId18" Type="http://schemas.openxmlformats.org/officeDocument/2006/relationships/hyperlink" Target="https://medicaljustice.org.uk/wp-content/uploads/2026/04/2026_03_05-Detention-Taskforce-Briefing-Note-Barriers-to-Disclosure-FINAL.pdf" TargetMode="External"/><Relationship Id="rId26" Type="http://schemas.openxmlformats.org/officeDocument/2006/relationships/hyperlink" Target="https://www.coe.int/en/web/migration-and-refugees/frequently-asked-questions-european-court-of-human-rights-and-migration" TargetMode="External"/><Relationship Id="rId39" Type="http://schemas.openxmlformats.org/officeDocument/2006/relationships/hyperlink" Target="https://ukandeu.ac.uk/does-the-ban-on-asylum-seekers-working-actually-work/" TargetMode="External"/><Relationship Id="rId21" Type="http://schemas.openxmlformats.org/officeDocument/2006/relationships/hyperlink" Target="https://lordslibrary.parliament.uk/integration-of-newly-recognised-refugees/" TargetMode="External"/><Relationship Id="rId34" Type="http://schemas.openxmlformats.org/officeDocument/2006/relationships/hyperlink" Target="https://www.gov.uk/government/publications/family-reunion-instruction" TargetMode="External"/><Relationship Id="rId42" Type="http://schemas.openxmlformats.org/officeDocument/2006/relationships/hyperlink" Target="https://www.gov.uk/government/news/asylum-seekers-will-pay-towards-costs-of-accommodation" TargetMode="External"/><Relationship Id="rId47" Type="http://schemas.openxmlformats.org/officeDocument/2006/relationships/hyperlink" Target="https://www.antislaverycommissioner.co.uk/news-insights/new-report-anticipating-exploitation-a-futures-analysis/" TargetMode="External"/><Relationship Id="rId50" Type="http://schemas.openxmlformats.org/officeDocument/2006/relationships/hyperlink" Target="https://www.theguardian.com/world/2025/apr/13/trafficking-victims-rejecting-uk-government-support-because-they-fear-being-deported" TargetMode="External"/><Relationship Id="rId55" Type="http://schemas.openxmlformats.org/officeDocument/2006/relationships/hyperlink" Target="https://www.gov.uk/government/statistics/modern-slavery-nrm-and-dtn-statistics-january-to-march-2025/modern-slavery-national-referral-mechanism-and-duty-to-notify-statistics-uk-quarter-1-2025-january-to-march" TargetMode="External"/><Relationship Id="rId7" Type="http://schemas.openxmlformats.org/officeDocument/2006/relationships/hyperlink" Target="https://www.gov.uk/government/news/new-independent-appeals-body-to-speed-up-removals" TargetMode="External"/><Relationship Id="rId2" Type="http://schemas.openxmlformats.org/officeDocument/2006/relationships/hyperlink" Target="https://www.nao.org.uk/wp-content/uploads/2025/12/an-analysis-of-the-asylum-system.pdf" TargetMode="External"/><Relationship Id="rId16" Type="http://schemas.openxmlformats.org/officeDocument/2006/relationships/hyperlink" Target="https://www.gov.uk/government/publications/asylum-and-returns-policy-statement/restoring-order-and-control-a-statement-on-the-governments-asylum-and-returns-policy" TargetMode="External"/><Relationship Id="rId29" Type="http://schemas.openxmlformats.org/officeDocument/2006/relationships/hyperlink" Target="https://researchbriefings.files.parliament.uk/documents/CBP-10376/CBP-10376.pdf" TargetMode="External"/><Relationship Id="rId11" Type="http://schemas.openxmlformats.org/officeDocument/2006/relationships/hyperlink" Target="https://freemovement.org.uk/briefing-the-sorry-state-of-the-uk-asylum-system/" TargetMode="External"/><Relationship Id="rId24" Type="http://schemas.openxmlformats.org/officeDocument/2006/relationships/hyperlink" Target="https://www.concern.net/news/refugees-stats-world-refugee-day" TargetMode="External"/><Relationship Id="rId32" Type="http://schemas.openxmlformats.org/officeDocument/2006/relationships/hyperlink" Target="https://ilpa.org.uk/statement-of-consensus-november-2025/" TargetMode="External"/><Relationship Id="rId37" Type="http://schemas.openxmlformats.org/officeDocument/2006/relationships/hyperlink" Target="https://cdn-d2po0k1vdlkvv.asylummatters.org/uploads/2023/12/Asylum-Matters-Surviving-in-Poverty-Report-A4-SINGLES-Dec-2023.pdf" TargetMode="External"/><Relationship Id="rId40" Type="http://schemas.openxmlformats.org/officeDocument/2006/relationships/hyperlink" Target="https://www.gov.uk/government/publications/working-whilst-an-asylum-claim-is-considered/working-in-the-uk-whilst-an-asylum-case-is-considered" TargetMode="External"/><Relationship Id="rId45" Type="http://schemas.openxmlformats.org/officeDocument/2006/relationships/hyperlink" Target="https://www.antislavery.org/latest/the-new-immigration-and-asylum-bill-will-damage-modern-slavery-protections/" TargetMode="External"/><Relationship Id="rId53" Type="http://schemas.openxmlformats.org/officeDocument/2006/relationships/hyperlink" Target="https://rm.coe.int/168008371d" TargetMode="External"/><Relationship Id="rId58" Type="http://schemas.openxmlformats.org/officeDocument/2006/relationships/hyperlink" Target="https://www.helenbamber.org/resources/reportsbriefings/without-secure-immigration-status-trafficking-survivors-cannot-recover" TargetMode="External"/><Relationship Id="rId5" Type="http://schemas.openxmlformats.org/officeDocument/2006/relationships/hyperlink" Target="https://www.gov.uk/government/news/refugee-protection-to-be-reviewed-every-30-months" TargetMode="External"/><Relationship Id="rId61" Type="http://schemas.openxmlformats.org/officeDocument/2006/relationships/hyperlink" Target="https://rm.coe.int/CoERMPublicCommonSearchServices/DisplayDCTMContent?documentId=09000016800d3812" TargetMode="External"/><Relationship Id="rId19" Type="http://schemas.openxmlformats.org/officeDocument/2006/relationships/hyperlink" Target="https://www.gov.uk/government/publications/statement-of-changes-to-the-immigration-rules-hc-1298-4-september-2025/economic-note-appendix-family-reunion-suspension-of-new-applications-accessible" TargetMode="External"/><Relationship Id="rId14" Type="http://schemas.openxmlformats.org/officeDocument/2006/relationships/hyperlink" Target="https://freemovement.org.uk/new-legal-aid-rates-for-immigration-and-asylum-work-to-take-effect-from-22-december-2025/" TargetMode="External"/><Relationship Id="rId22" Type="http://schemas.openxmlformats.org/officeDocument/2006/relationships/hyperlink" Target="https://rmcentre.org.uk/news/financial-requirements-on-family-visas/" TargetMode="External"/><Relationship Id="rId27" Type="http://schemas.openxmlformats.org/officeDocument/2006/relationships/hyperlink" Target="https://www.europarl.europa.eu/RegData/etudes/BRIE/2026/782643/EPRS_BRI(2026)782643_EN.pdf" TargetMode="External"/><Relationship Id="rId30" Type="http://schemas.openxmlformats.org/officeDocument/2006/relationships/hyperlink" Target="https://www.law.ox.ac.uk/sites/default/files/2025-09/European%20Convention%20on%20Human%20Rights%20and%20Immigration%20Control%20in%20the%20UK_4%20Sept%202025.pdf" TargetMode="External"/><Relationship Id="rId35" Type="http://schemas.openxmlformats.org/officeDocument/2006/relationships/hyperlink" Target="https://assets.publishing.service.gov.uk/media/69f9d239097169e6a7a76fd0/Nationality_policy_-_good_character.pdf" TargetMode="External"/><Relationship Id="rId43" Type="http://schemas.openxmlformats.org/officeDocument/2006/relationships/hyperlink" Target="https://www.gov.uk/government/publications/asylum-and-returns-policy-statement/restoring-order-and-control-a-statement-on-the-governments-asylum-and-returns-policy" TargetMode="External"/><Relationship Id="rId48" Type="http://schemas.openxmlformats.org/officeDocument/2006/relationships/hyperlink" Target="https://www.justrightscotland.org.uk/wp-content/uploads/2026/05/GRETA_2026_03_FGR_GBR_EN.docx.pdf" TargetMode="External"/><Relationship Id="rId56" Type="http://schemas.openxmlformats.org/officeDocument/2006/relationships/hyperlink" Target="https://www.gov.uk/government/statistics/modern-slavery-nrm-and-dtn-statistics-january-to-march-2026/modern-slavery-national-referral-mechanism-and-duty-to-notify-statistics-uk-quarter-1-2026-january-to-march" TargetMode="External"/><Relationship Id="rId8" Type="http://schemas.openxmlformats.org/officeDocument/2006/relationships/hyperlink" Target="https://ilpa.org.uk/wp-content/uploads/2026/05/26.05.05-The-New-Independent-Appeals-Body-ILPA-response.pdf" TargetMode="External"/><Relationship Id="rId51" Type="http://schemas.openxmlformats.org/officeDocument/2006/relationships/hyperlink" Target="https://www.biduk.org/articles/barriers-disclosure-a-survivor-of-trafficking-s-journey-through-the-immigration-process" TargetMode="External"/><Relationship Id="rId3" Type="http://schemas.openxmlformats.org/officeDocument/2006/relationships/hyperlink" Target="https://freemovement.org.uk/over-half-the-people-seeking-asylum-are-now-unable-to-access-a-legal-aid-lawyer/" TargetMode="External"/><Relationship Id="rId12" Type="http://schemas.openxmlformats.org/officeDocument/2006/relationships/hyperlink" Target="https://www.refugeecouncil.org.uk/press-office/media-centre/number-of-people-waiting-for-asylum-appeal-almost-doubles/" TargetMode="External"/><Relationship Id="rId17" Type="http://schemas.openxmlformats.org/officeDocument/2006/relationships/hyperlink" Target="https://hubble-live-assets.s3.eu-west-1.amazonaws.com/biduk/file_asset/file/1697/Legal_Advice_Survey_Spring_2026_Final__1_.pdf" TargetMode="External"/><Relationship Id="rId25" Type="http://schemas.openxmlformats.org/officeDocument/2006/relationships/hyperlink" Target="https://ukandeu.ac.uk/explainers/explainer-the-european-convention-on-human-rights-echr/" TargetMode="External"/><Relationship Id="rId33" Type="http://schemas.openxmlformats.org/officeDocument/2006/relationships/hyperlink" Target="https://publications.parliament.uk/pa/bills/cbill/59-02/0105/ECHRMemo.pdf" TargetMode="External"/><Relationship Id="rId38" Type="http://schemas.openxmlformats.org/officeDocument/2006/relationships/hyperlink" Target="https://assets.redcross.org.uk/82b1e254-5524-0172-0612-9ce813c7824c/5d055b45-ae59-4cd3-a0bc-e4c2108dd51e/at-risk-exploitation-and-the-uk-asylum-system.pdf" TargetMode="External"/><Relationship Id="rId46" Type="http://schemas.openxmlformats.org/officeDocument/2006/relationships/hyperlink" Target="https://www.gov.uk/government/statistics/modern-slavery-nrm-and-dtn-statistics-end-of-year-summary-2025/modern-slavery-national-referral-mechanism-and-duty-to-notify-statistics-uk-end-of-year-summary-2025?utm_source=mailerlite&amp;utm_medium=email&amp;utm_term=tue+07+jul+2026&amp;utm_campaign=weekly+blog+updates" TargetMode="External"/><Relationship Id="rId59" Type="http://schemas.openxmlformats.org/officeDocument/2006/relationships/hyperlink" Target="https://www.helenbamber.org/sites/default/files/2025-07/RoadtoNowhere_FINAL_150725.pdf" TargetMode="External"/><Relationship Id="rId20" Type="http://schemas.openxmlformats.org/officeDocument/2006/relationships/hyperlink" Target="https://commonslibrary.parliament.uk/research-briefings/cbp-10399/" TargetMode="External"/><Relationship Id="rId41" Type="http://schemas.openxmlformats.org/officeDocument/2006/relationships/hyperlink" Target="https://www.gov.uk/government/publications/skilled-worker-visa-immigration-salary-list/skilled-worker-visa-immigration-salary-list" TargetMode="External"/><Relationship Id="rId54" Type="http://schemas.openxmlformats.org/officeDocument/2006/relationships/hyperlink" Target="https://files.modernslaverypec.org/production/assets/downloads/MSPEC_IOM_report_FINAL-full-report.pdf?dm=1762445798" TargetMode="External"/><Relationship Id="rId1" Type="http://schemas.openxmlformats.org/officeDocument/2006/relationships/hyperlink" Target="https://www.gov.uk/government/statistics/modern-slavery-nrm-and-dtn-statistics-end-of-year-summary-2025/modern-slavery-national-referral-mechanism-and-duty-to-notify-statistics-uk-end-of-year-summary-2025?utm_source=mailerlite&amp;utm_medium=email&amp;utm_term=tue+07+jul+2026&amp;utm_campaign=weekly+blog+updates" TargetMode="External"/><Relationship Id="rId6" Type="http://schemas.openxmlformats.org/officeDocument/2006/relationships/hyperlink" Target="https://questions-statements.parliament.uk/written-statements/detail/2026-03-02/hcws1373" TargetMode="External"/><Relationship Id="rId15" Type="http://schemas.openxmlformats.org/officeDocument/2006/relationships/hyperlink" Target="https://www.gov.uk/government/news/new-independent-appeals-body-to-speed-up-removals" TargetMode="External"/><Relationship Id="rId23" Type="http://schemas.openxmlformats.org/officeDocument/2006/relationships/hyperlink" Target="https://www.coe.int/en/web/commissioner/-/ending-restrictions-on-family-reunification-good-for-refugees-good-for-host-societies" TargetMode="External"/><Relationship Id="rId28" Type="http://schemas.openxmlformats.org/officeDocument/2006/relationships/hyperlink" Target="https://ukandeu.ac.uk/explainers/does-the-european-convention-on-human-rights-stop-foreign-criminals-being-removed-from-the-uk/" TargetMode="External"/><Relationship Id="rId36" Type="http://schemas.openxmlformats.org/officeDocument/2006/relationships/hyperlink" Target="https://www.gov.uk/asylum-support/what-youll-get" TargetMode="External"/><Relationship Id="rId49" Type="http://schemas.openxmlformats.org/officeDocument/2006/relationships/hyperlink" Target="https://www.helenbamber.org/resources/reportsbriefings/thousands-confirmed-trafficking-victims-denied-permission-stay-uk-and" TargetMode="External"/><Relationship Id="rId57" Type="http://schemas.openxmlformats.org/officeDocument/2006/relationships/hyperlink" Target="https://freemovement.org.uk/nearly-90-of-conclusive-grounds-reconsiderations-result-in-positive-outcome-and-more-uk-referrals-than-ever/" TargetMode="External"/><Relationship Id="rId10" Type="http://schemas.openxmlformats.org/officeDocument/2006/relationships/hyperlink" Target="https://www.theguardian.com/uk-news/2024/dec/08/home-office-says-only-half-of-uk-asylum-decisions-meet-its-quality-standards" TargetMode="External"/><Relationship Id="rId31" Type="http://schemas.openxmlformats.org/officeDocument/2006/relationships/hyperlink" Target="https://ilpa.org.uk/statement-of-consensus-november-2025/" TargetMode="External"/><Relationship Id="rId44" Type="http://schemas.openxmlformats.org/officeDocument/2006/relationships/hyperlink" Target="https://www.gov.uk/government/news/mahmood-myreforms-will-save-the-asylum-system-for-a-generation" TargetMode="External"/><Relationship Id="rId52" Type="http://schemas.openxmlformats.org/officeDocument/2006/relationships/hyperlink" Target="https://assets.publishing.service.gov.uk/media/6a0486afda82768016cb3ee9/MSSG_v4.6.pdf" TargetMode="External"/><Relationship Id="rId60" Type="http://schemas.openxmlformats.org/officeDocument/2006/relationships/hyperlink" Target="https://rm.coe.int/168008371d" TargetMode="External"/><Relationship Id="rId4" Type="http://schemas.openxmlformats.org/officeDocument/2006/relationships/hyperlink" Target="https://assets.publishing.service.gov.uk/media/691edda450b16caf978153d8/Command_Paper_final_-_reviewed7.pdf" TargetMode="External"/><Relationship Id="rId9" Type="http://schemas.openxmlformats.org/officeDocument/2006/relationships/hyperlink" Target="https://www.nao.org.uk/wp-content/uploads/2025/12/an-analysis-of-the-asylum-syste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BA7E94C131D4AA76DA8D9C880655B" ma:contentTypeVersion="3" ma:contentTypeDescription="Create a new document." ma:contentTypeScope="" ma:versionID="eb7fe0e2f01fdddd870b211d182fc322">
  <xsd:schema xmlns:xsd="http://www.w3.org/2001/XMLSchema" xmlns:xs="http://www.w3.org/2001/XMLSchema" xmlns:p="http://schemas.microsoft.com/office/2006/metadata/properties" xmlns:ns2="4970e138-d8a5-4057-aa81-a790214a05ec" targetNamespace="http://schemas.microsoft.com/office/2006/metadata/properties" ma:root="true" ma:fieldsID="f383fffae36f3d754dce17ae010d8dca" ns2:_="">
    <xsd:import namespace="4970e138-d8a5-4057-aa81-a790214a05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0e138-d8a5-4057-aa81-a790214a0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0191-95AB-4630-88D6-0E9C010774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D256BA-EEA8-48E0-9A30-13DE62DDA50F}">
  <ds:schemaRefs>
    <ds:schemaRef ds:uri="http://schemas.microsoft.com/sharepoint/v3/contenttype/forms"/>
  </ds:schemaRefs>
</ds:datastoreItem>
</file>

<file path=customXml/itemProps3.xml><?xml version="1.0" encoding="utf-8"?>
<ds:datastoreItem xmlns:ds="http://schemas.openxmlformats.org/officeDocument/2006/customXml" ds:itemID="{EFAA6FC2-A70E-4859-8B86-A4B5F4864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0e138-d8a5-4057-aa81-a790214a0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D35ED-A304-491F-A6A4-6EED1BC0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14838</Words>
  <Characters>84578</Characters>
  <Application>Microsoft Office Word</Application>
  <DocSecurity>4</DocSecurity>
  <Lines>704</Lines>
  <Paragraphs>198</Paragraphs>
  <ScaleCrop>false</ScaleCrop>
  <Company/>
  <LinksUpToDate>false</LinksUpToDate>
  <CharactersWithSpaces>99218</CharactersWithSpaces>
  <SharedDoc>false</SharedDoc>
  <HLinks>
    <vt:vector size="600" baseType="variant">
      <vt:variant>
        <vt:i4>2424938</vt:i4>
      </vt:variant>
      <vt:variant>
        <vt:i4>114</vt:i4>
      </vt:variant>
      <vt:variant>
        <vt:i4>0</vt:i4>
      </vt:variant>
      <vt:variant>
        <vt:i4>5</vt:i4>
      </vt:variant>
      <vt:variant>
        <vt:lpwstr/>
      </vt:variant>
      <vt:variant>
        <vt:lpwstr>_TOC_250000</vt:lpwstr>
      </vt:variant>
      <vt:variant>
        <vt:i4>2424938</vt:i4>
      </vt:variant>
      <vt:variant>
        <vt:i4>111</vt:i4>
      </vt:variant>
      <vt:variant>
        <vt:i4>0</vt:i4>
      </vt:variant>
      <vt:variant>
        <vt:i4>5</vt:i4>
      </vt:variant>
      <vt:variant>
        <vt:lpwstr/>
      </vt:variant>
      <vt:variant>
        <vt:lpwstr>_TOC_250001</vt:lpwstr>
      </vt:variant>
      <vt:variant>
        <vt:i4>2424938</vt:i4>
      </vt:variant>
      <vt:variant>
        <vt:i4>108</vt:i4>
      </vt:variant>
      <vt:variant>
        <vt:i4>0</vt:i4>
      </vt:variant>
      <vt:variant>
        <vt:i4>5</vt:i4>
      </vt:variant>
      <vt:variant>
        <vt:lpwstr/>
      </vt:variant>
      <vt:variant>
        <vt:lpwstr>_TOC_250002</vt:lpwstr>
      </vt:variant>
      <vt:variant>
        <vt:i4>2424938</vt:i4>
      </vt:variant>
      <vt:variant>
        <vt:i4>105</vt:i4>
      </vt:variant>
      <vt:variant>
        <vt:i4>0</vt:i4>
      </vt:variant>
      <vt:variant>
        <vt:i4>5</vt:i4>
      </vt:variant>
      <vt:variant>
        <vt:lpwstr/>
      </vt:variant>
      <vt:variant>
        <vt:lpwstr>_TOC_250003</vt:lpwstr>
      </vt:variant>
      <vt:variant>
        <vt:i4>2424938</vt:i4>
      </vt:variant>
      <vt:variant>
        <vt:i4>102</vt:i4>
      </vt:variant>
      <vt:variant>
        <vt:i4>0</vt:i4>
      </vt:variant>
      <vt:variant>
        <vt:i4>5</vt:i4>
      </vt:variant>
      <vt:variant>
        <vt:lpwstr/>
      </vt:variant>
      <vt:variant>
        <vt:lpwstr>_TOC_250004</vt:lpwstr>
      </vt:variant>
      <vt:variant>
        <vt:i4>2424938</vt:i4>
      </vt:variant>
      <vt:variant>
        <vt:i4>99</vt:i4>
      </vt:variant>
      <vt:variant>
        <vt:i4>0</vt:i4>
      </vt:variant>
      <vt:variant>
        <vt:i4>5</vt:i4>
      </vt:variant>
      <vt:variant>
        <vt:lpwstr/>
      </vt:variant>
      <vt:variant>
        <vt:lpwstr>_TOC_250005</vt:lpwstr>
      </vt:variant>
      <vt:variant>
        <vt:i4>2424938</vt:i4>
      </vt:variant>
      <vt:variant>
        <vt:i4>96</vt:i4>
      </vt:variant>
      <vt:variant>
        <vt:i4>0</vt:i4>
      </vt:variant>
      <vt:variant>
        <vt:i4>5</vt:i4>
      </vt:variant>
      <vt:variant>
        <vt:lpwstr/>
      </vt:variant>
      <vt:variant>
        <vt:lpwstr>_TOC_250006</vt:lpwstr>
      </vt:variant>
      <vt:variant>
        <vt:i4>2424938</vt:i4>
      </vt:variant>
      <vt:variant>
        <vt:i4>93</vt:i4>
      </vt:variant>
      <vt:variant>
        <vt:i4>0</vt:i4>
      </vt:variant>
      <vt:variant>
        <vt:i4>5</vt:i4>
      </vt:variant>
      <vt:variant>
        <vt:lpwstr/>
      </vt:variant>
      <vt:variant>
        <vt:lpwstr>_TOC_250007</vt:lpwstr>
      </vt:variant>
      <vt:variant>
        <vt:i4>2424938</vt:i4>
      </vt:variant>
      <vt:variant>
        <vt:i4>90</vt:i4>
      </vt:variant>
      <vt:variant>
        <vt:i4>0</vt:i4>
      </vt:variant>
      <vt:variant>
        <vt:i4>5</vt:i4>
      </vt:variant>
      <vt:variant>
        <vt:lpwstr/>
      </vt:variant>
      <vt:variant>
        <vt:lpwstr>_TOC_250008</vt:lpwstr>
      </vt:variant>
      <vt:variant>
        <vt:i4>2424938</vt:i4>
      </vt:variant>
      <vt:variant>
        <vt:i4>87</vt:i4>
      </vt:variant>
      <vt:variant>
        <vt:i4>0</vt:i4>
      </vt:variant>
      <vt:variant>
        <vt:i4>5</vt:i4>
      </vt:variant>
      <vt:variant>
        <vt:lpwstr/>
      </vt:variant>
      <vt:variant>
        <vt:lpwstr>_TOC_250009</vt:lpwstr>
      </vt:variant>
      <vt:variant>
        <vt:i4>2359402</vt:i4>
      </vt:variant>
      <vt:variant>
        <vt:i4>84</vt:i4>
      </vt:variant>
      <vt:variant>
        <vt:i4>0</vt:i4>
      </vt:variant>
      <vt:variant>
        <vt:i4>5</vt:i4>
      </vt:variant>
      <vt:variant>
        <vt:lpwstr/>
      </vt:variant>
      <vt:variant>
        <vt:lpwstr>_TOC_250010</vt:lpwstr>
      </vt:variant>
      <vt:variant>
        <vt:i4>2359402</vt:i4>
      </vt:variant>
      <vt:variant>
        <vt:i4>81</vt:i4>
      </vt:variant>
      <vt:variant>
        <vt:i4>0</vt:i4>
      </vt:variant>
      <vt:variant>
        <vt:i4>5</vt:i4>
      </vt:variant>
      <vt:variant>
        <vt:lpwstr/>
      </vt:variant>
      <vt:variant>
        <vt:lpwstr>_TOC_250011</vt:lpwstr>
      </vt:variant>
      <vt:variant>
        <vt:i4>2359402</vt:i4>
      </vt:variant>
      <vt:variant>
        <vt:i4>78</vt:i4>
      </vt:variant>
      <vt:variant>
        <vt:i4>0</vt:i4>
      </vt:variant>
      <vt:variant>
        <vt:i4>5</vt:i4>
      </vt:variant>
      <vt:variant>
        <vt:lpwstr/>
      </vt:variant>
      <vt:variant>
        <vt:lpwstr>_TOC_250012</vt:lpwstr>
      </vt:variant>
      <vt:variant>
        <vt:i4>2359402</vt:i4>
      </vt:variant>
      <vt:variant>
        <vt:i4>75</vt:i4>
      </vt:variant>
      <vt:variant>
        <vt:i4>0</vt:i4>
      </vt:variant>
      <vt:variant>
        <vt:i4>5</vt:i4>
      </vt:variant>
      <vt:variant>
        <vt:lpwstr/>
      </vt:variant>
      <vt:variant>
        <vt:lpwstr>_TOC_250013</vt:lpwstr>
      </vt:variant>
      <vt:variant>
        <vt:i4>2359402</vt:i4>
      </vt:variant>
      <vt:variant>
        <vt:i4>72</vt:i4>
      </vt:variant>
      <vt:variant>
        <vt:i4>0</vt:i4>
      </vt:variant>
      <vt:variant>
        <vt:i4>5</vt:i4>
      </vt:variant>
      <vt:variant>
        <vt:lpwstr/>
      </vt:variant>
      <vt:variant>
        <vt:lpwstr>_TOC_250014</vt:lpwstr>
      </vt:variant>
      <vt:variant>
        <vt:i4>2359402</vt:i4>
      </vt:variant>
      <vt:variant>
        <vt:i4>69</vt:i4>
      </vt:variant>
      <vt:variant>
        <vt:i4>0</vt:i4>
      </vt:variant>
      <vt:variant>
        <vt:i4>5</vt:i4>
      </vt:variant>
      <vt:variant>
        <vt:lpwstr/>
      </vt:variant>
      <vt:variant>
        <vt:lpwstr>_TOC_250015</vt:lpwstr>
      </vt:variant>
      <vt:variant>
        <vt:i4>2359402</vt:i4>
      </vt:variant>
      <vt:variant>
        <vt:i4>66</vt:i4>
      </vt:variant>
      <vt:variant>
        <vt:i4>0</vt:i4>
      </vt:variant>
      <vt:variant>
        <vt:i4>5</vt:i4>
      </vt:variant>
      <vt:variant>
        <vt:lpwstr/>
      </vt:variant>
      <vt:variant>
        <vt:lpwstr>_TOC_250016</vt:lpwstr>
      </vt:variant>
      <vt:variant>
        <vt:i4>2359402</vt:i4>
      </vt:variant>
      <vt:variant>
        <vt:i4>63</vt:i4>
      </vt:variant>
      <vt:variant>
        <vt:i4>0</vt:i4>
      </vt:variant>
      <vt:variant>
        <vt:i4>5</vt:i4>
      </vt:variant>
      <vt:variant>
        <vt:lpwstr/>
      </vt:variant>
      <vt:variant>
        <vt:lpwstr>_TOC_250017</vt:lpwstr>
      </vt:variant>
      <vt:variant>
        <vt:i4>2359402</vt:i4>
      </vt:variant>
      <vt:variant>
        <vt:i4>60</vt:i4>
      </vt:variant>
      <vt:variant>
        <vt:i4>0</vt:i4>
      </vt:variant>
      <vt:variant>
        <vt:i4>5</vt:i4>
      </vt:variant>
      <vt:variant>
        <vt:lpwstr/>
      </vt:variant>
      <vt:variant>
        <vt:lpwstr>_TOC_250018</vt:lpwstr>
      </vt:variant>
      <vt:variant>
        <vt:i4>2359402</vt:i4>
      </vt:variant>
      <vt:variant>
        <vt:i4>57</vt:i4>
      </vt:variant>
      <vt:variant>
        <vt:i4>0</vt:i4>
      </vt:variant>
      <vt:variant>
        <vt:i4>5</vt:i4>
      </vt:variant>
      <vt:variant>
        <vt:lpwstr/>
      </vt:variant>
      <vt:variant>
        <vt:lpwstr>_TOC_250019</vt:lpwstr>
      </vt:variant>
      <vt:variant>
        <vt:i4>2556010</vt:i4>
      </vt:variant>
      <vt:variant>
        <vt:i4>54</vt:i4>
      </vt:variant>
      <vt:variant>
        <vt:i4>0</vt:i4>
      </vt:variant>
      <vt:variant>
        <vt:i4>5</vt:i4>
      </vt:variant>
      <vt:variant>
        <vt:lpwstr/>
      </vt:variant>
      <vt:variant>
        <vt:lpwstr>_TOC_250020</vt:lpwstr>
      </vt:variant>
      <vt:variant>
        <vt:i4>2556010</vt:i4>
      </vt:variant>
      <vt:variant>
        <vt:i4>51</vt:i4>
      </vt:variant>
      <vt:variant>
        <vt:i4>0</vt:i4>
      </vt:variant>
      <vt:variant>
        <vt:i4>5</vt:i4>
      </vt:variant>
      <vt:variant>
        <vt:lpwstr/>
      </vt:variant>
      <vt:variant>
        <vt:lpwstr>_TOC_250021</vt:lpwstr>
      </vt:variant>
      <vt:variant>
        <vt:i4>2556010</vt:i4>
      </vt:variant>
      <vt:variant>
        <vt:i4>48</vt:i4>
      </vt:variant>
      <vt:variant>
        <vt:i4>0</vt:i4>
      </vt:variant>
      <vt:variant>
        <vt:i4>5</vt:i4>
      </vt:variant>
      <vt:variant>
        <vt:lpwstr/>
      </vt:variant>
      <vt:variant>
        <vt:lpwstr>_TOC_250022</vt:lpwstr>
      </vt:variant>
      <vt:variant>
        <vt:i4>2556010</vt:i4>
      </vt:variant>
      <vt:variant>
        <vt:i4>45</vt:i4>
      </vt:variant>
      <vt:variant>
        <vt:i4>0</vt:i4>
      </vt:variant>
      <vt:variant>
        <vt:i4>5</vt:i4>
      </vt:variant>
      <vt:variant>
        <vt:lpwstr/>
      </vt:variant>
      <vt:variant>
        <vt:lpwstr>_TOC_250023</vt:lpwstr>
      </vt:variant>
      <vt:variant>
        <vt:i4>2556010</vt:i4>
      </vt:variant>
      <vt:variant>
        <vt:i4>42</vt:i4>
      </vt:variant>
      <vt:variant>
        <vt:i4>0</vt:i4>
      </vt:variant>
      <vt:variant>
        <vt:i4>5</vt:i4>
      </vt:variant>
      <vt:variant>
        <vt:lpwstr/>
      </vt:variant>
      <vt:variant>
        <vt:lpwstr>_TOC_250024</vt:lpwstr>
      </vt:variant>
      <vt:variant>
        <vt:i4>2556010</vt:i4>
      </vt:variant>
      <vt:variant>
        <vt:i4>39</vt:i4>
      </vt:variant>
      <vt:variant>
        <vt:i4>0</vt:i4>
      </vt:variant>
      <vt:variant>
        <vt:i4>5</vt:i4>
      </vt:variant>
      <vt:variant>
        <vt:lpwstr/>
      </vt:variant>
      <vt:variant>
        <vt:lpwstr>_TOC_250025</vt:lpwstr>
      </vt:variant>
      <vt:variant>
        <vt:i4>2556010</vt:i4>
      </vt:variant>
      <vt:variant>
        <vt:i4>36</vt:i4>
      </vt:variant>
      <vt:variant>
        <vt:i4>0</vt:i4>
      </vt:variant>
      <vt:variant>
        <vt:i4>5</vt:i4>
      </vt:variant>
      <vt:variant>
        <vt:lpwstr/>
      </vt:variant>
      <vt:variant>
        <vt:lpwstr>_TOC_250026</vt:lpwstr>
      </vt:variant>
      <vt:variant>
        <vt:i4>2556010</vt:i4>
      </vt:variant>
      <vt:variant>
        <vt:i4>33</vt:i4>
      </vt:variant>
      <vt:variant>
        <vt:i4>0</vt:i4>
      </vt:variant>
      <vt:variant>
        <vt:i4>5</vt:i4>
      </vt:variant>
      <vt:variant>
        <vt:lpwstr/>
      </vt:variant>
      <vt:variant>
        <vt:lpwstr>_TOC_250027</vt:lpwstr>
      </vt:variant>
      <vt:variant>
        <vt:i4>2556010</vt:i4>
      </vt:variant>
      <vt:variant>
        <vt:i4>30</vt:i4>
      </vt:variant>
      <vt:variant>
        <vt:i4>0</vt:i4>
      </vt:variant>
      <vt:variant>
        <vt:i4>5</vt:i4>
      </vt:variant>
      <vt:variant>
        <vt:lpwstr/>
      </vt:variant>
      <vt:variant>
        <vt:lpwstr>_TOC_250028</vt:lpwstr>
      </vt:variant>
      <vt:variant>
        <vt:i4>2556010</vt:i4>
      </vt:variant>
      <vt:variant>
        <vt:i4>27</vt:i4>
      </vt:variant>
      <vt:variant>
        <vt:i4>0</vt:i4>
      </vt:variant>
      <vt:variant>
        <vt:i4>5</vt:i4>
      </vt:variant>
      <vt:variant>
        <vt:lpwstr/>
      </vt:variant>
      <vt:variant>
        <vt:lpwstr>_TOC_250029</vt:lpwstr>
      </vt:variant>
      <vt:variant>
        <vt:i4>2490474</vt:i4>
      </vt:variant>
      <vt:variant>
        <vt:i4>24</vt:i4>
      </vt:variant>
      <vt:variant>
        <vt:i4>0</vt:i4>
      </vt:variant>
      <vt:variant>
        <vt:i4>5</vt:i4>
      </vt:variant>
      <vt:variant>
        <vt:lpwstr/>
      </vt:variant>
      <vt:variant>
        <vt:lpwstr>_TOC_250030</vt:lpwstr>
      </vt:variant>
      <vt:variant>
        <vt:i4>2490474</vt:i4>
      </vt:variant>
      <vt:variant>
        <vt:i4>21</vt:i4>
      </vt:variant>
      <vt:variant>
        <vt:i4>0</vt:i4>
      </vt:variant>
      <vt:variant>
        <vt:i4>5</vt:i4>
      </vt:variant>
      <vt:variant>
        <vt:lpwstr/>
      </vt:variant>
      <vt:variant>
        <vt:lpwstr>_TOC_250031</vt:lpwstr>
      </vt:variant>
      <vt:variant>
        <vt:i4>2490474</vt:i4>
      </vt:variant>
      <vt:variant>
        <vt:i4>18</vt:i4>
      </vt:variant>
      <vt:variant>
        <vt:i4>0</vt:i4>
      </vt:variant>
      <vt:variant>
        <vt:i4>5</vt:i4>
      </vt:variant>
      <vt:variant>
        <vt:lpwstr/>
      </vt:variant>
      <vt:variant>
        <vt:lpwstr>_TOC_250032</vt:lpwstr>
      </vt:variant>
      <vt:variant>
        <vt:i4>2490474</vt:i4>
      </vt:variant>
      <vt:variant>
        <vt:i4>15</vt:i4>
      </vt:variant>
      <vt:variant>
        <vt:i4>0</vt:i4>
      </vt:variant>
      <vt:variant>
        <vt:i4>5</vt:i4>
      </vt:variant>
      <vt:variant>
        <vt:lpwstr/>
      </vt:variant>
      <vt:variant>
        <vt:lpwstr>_TOC_250033</vt:lpwstr>
      </vt:variant>
      <vt:variant>
        <vt:i4>2490474</vt:i4>
      </vt:variant>
      <vt:variant>
        <vt:i4>12</vt:i4>
      </vt:variant>
      <vt:variant>
        <vt:i4>0</vt:i4>
      </vt:variant>
      <vt:variant>
        <vt:i4>5</vt:i4>
      </vt:variant>
      <vt:variant>
        <vt:lpwstr/>
      </vt:variant>
      <vt:variant>
        <vt:lpwstr>_TOC_250034</vt:lpwstr>
      </vt:variant>
      <vt:variant>
        <vt:i4>2490474</vt:i4>
      </vt:variant>
      <vt:variant>
        <vt:i4>9</vt:i4>
      </vt:variant>
      <vt:variant>
        <vt:i4>0</vt:i4>
      </vt:variant>
      <vt:variant>
        <vt:i4>5</vt:i4>
      </vt:variant>
      <vt:variant>
        <vt:lpwstr/>
      </vt:variant>
      <vt:variant>
        <vt:lpwstr>_TOC_250035</vt:lpwstr>
      </vt:variant>
      <vt:variant>
        <vt:i4>2490474</vt:i4>
      </vt:variant>
      <vt:variant>
        <vt:i4>6</vt:i4>
      </vt:variant>
      <vt:variant>
        <vt:i4>0</vt:i4>
      </vt:variant>
      <vt:variant>
        <vt:i4>5</vt:i4>
      </vt:variant>
      <vt:variant>
        <vt:lpwstr/>
      </vt:variant>
      <vt:variant>
        <vt:lpwstr>_TOC_250036</vt:lpwstr>
      </vt:variant>
      <vt:variant>
        <vt:i4>2490474</vt:i4>
      </vt:variant>
      <vt:variant>
        <vt:i4>3</vt:i4>
      </vt:variant>
      <vt:variant>
        <vt:i4>0</vt:i4>
      </vt:variant>
      <vt:variant>
        <vt:i4>5</vt:i4>
      </vt:variant>
      <vt:variant>
        <vt:lpwstr/>
      </vt:variant>
      <vt:variant>
        <vt:lpwstr>_TOC_250037</vt:lpwstr>
      </vt:variant>
      <vt:variant>
        <vt:i4>2490474</vt:i4>
      </vt:variant>
      <vt:variant>
        <vt:i4>0</vt:i4>
      </vt:variant>
      <vt:variant>
        <vt:i4>0</vt:i4>
      </vt:variant>
      <vt:variant>
        <vt:i4>5</vt:i4>
      </vt:variant>
      <vt:variant>
        <vt:lpwstr/>
      </vt:variant>
      <vt:variant>
        <vt:lpwstr>_TOC_250038</vt:lpwstr>
      </vt:variant>
      <vt:variant>
        <vt:i4>4456463</vt:i4>
      </vt:variant>
      <vt:variant>
        <vt:i4>264</vt:i4>
      </vt:variant>
      <vt:variant>
        <vt:i4>0</vt:i4>
      </vt:variant>
      <vt:variant>
        <vt:i4>5</vt:i4>
      </vt:variant>
      <vt:variant>
        <vt:lpwstr>https://rm.coe.int/CoERMPublicCommonSearchServices/DisplayDCTMContent?documentId=09000016800d3812</vt:lpwstr>
      </vt:variant>
      <vt:variant>
        <vt:lpwstr/>
      </vt:variant>
      <vt:variant>
        <vt:i4>6029333</vt:i4>
      </vt:variant>
      <vt:variant>
        <vt:i4>258</vt:i4>
      </vt:variant>
      <vt:variant>
        <vt:i4>0</vt:i4>
      </vt:variant>
      <vt:variant>
        <vt:i4>5</vt:i4>
      </vt:variant>
      <vt:variant>
        <vt:lpwstr>https://rm.coe.int/168008371d</vt:lpwstr>
      </vt:variant>
      <vt:variant>
        <vt:lpwstr/>
      </vt:variant>
      <vt:variant>
        <vt:i4>3407908</vt:i4>
      </vt:variant>
      <vt:variant>
        <vt:i4>255</vt:i4>
      </vt:variant>
      <vt:variant>
        <vt:i4>0</vt:i4>
      </vt:variant>
      <vt:variant>
        <vt:i4>5</vt:i4>
      </vt:variant>
      <vt:variant>
        <vt:lpwstr>https://www.helenbamber.org/sites/default/files/2025-07/RoadtoNowhere_FINAL_150725.pdf</vt:lpwstr>
      </vt:variant>
      <vt:variant>
        <vt:lpwstr/>
      </vt:variant>
      <vt:variant>
        <vt:i4>4390914</vt:i4>
      </vt:variant>
      <vt:variant>
        <vt:i4>252</vt:i4>
      </vt:variant>
      <vt:variant>
        <vt:i4>0</vt:i4>
      </vt:variant>
      <vt:variant>
        <vt:i4>5</vt:i4>
      </vt:variant>
      <vt:variant>
        <vt:lpwstr>https://www.helenbamber.org/resources/reportsbriefings/without-secure-immigration-status-trafficking-survivors-cannot-recover</vt:lpwstr>
      </vt:variant>
      <vt:variant>
        <vt:lpwstr/>
      </vt:variant>
      <vt:variant>
        <vt:i4>786441</vt:i4>
      </vt:variant>
      <vt:variant>
        <vt:i4>249</vt:i4>
      </vt:variant>
      <vt:variant>
        <vt:i4>0</vt:i4>
      </vt:variant>
      <vt:variant>
        <vt:i4>5</vt:i4>
      </vt:variant>
      <vt:variant>
        <vt:lpwstr>https://freemovement.org.uk/nearly-90-of-conclusive-grounds-reconsiderations-result-in-positive-outcome-and-more-uk-referrals-than-ever/</vt:lpwstr>
      </vt:variant>
      <vt:variant>
        <vt:lpwstr/>
      </vt:variant>
      <vt:variant>
        <vt:i4>196692</vt:i4>
      </vt:variant>
      <vt:variant>
        <vt:i4>246</vt:i4>
      </vt:variant>
      <vt:variant>
        <vt:i4>0</vt:i4>
      </vt:variant>
      <vt:variant>
        <vt:i4>5</vt:i4>
      </vt:variant>
      <vt:variant>
        <vt:lpwstr>https://www.gov.uk/government/statistics/modern-slavery-nrm-and-dtn-statistics-january-to-march-2026/modern-slavery-national-referral-mechanism-and-duty-to-notify-statistics-uk-quarter-1-2026-january-to-march</vt:lpwstr>
      </vt:variant>
      <vt:variant>
        <vt:lpwstr/>
      </vt:variant>
      <vt:variant>
        <vt:i4>87</vt:i4>
      </vt:variant>
      <vt:variant>
        <vt:i4>243</vt:i4>
      </vt:variant>
      <vt:variant>
        <vt:i4>0</vt:i4>
      </vt:variant>
      <vt:variant>
        <vt:i4>5</vt:i4>
      </vt:variant>
      <vt:variant>
        <vt:lpwstr>https://www.gov.uk/government/statistics/modern-slavery-nrm-and-dtn-statistics-january-to-march-2025/modern-slavery-national-referral-mechanism-and-duty-to-notify-statistics-uk-quarter-1-2025-january-to-march</vt:lpwstr>
      </vt:variant>
      <vt:variant>
        <vt:lpwstr/>
      </vt:variant>
      <vt:variant>
        <vt:i4>4980791</vt:i4>
      </vt:variant>
      <vt:variant>
        <vt:i4>240</vt:i4>
      </vt:variant>
      <vt:variant>
        <vt:i4>0</vt:i4>
      </vt:variant>
      <vt:variant>
        <vt:i4>5</vt:i4>
      </vt:variant>
      <vt:variant>
        <vt:lpwstr>https://files.modernslaverypec.org/production/assets/downloads/MSPEC_IOM_report_FINAL-full-report.pdf?dm=1762445798</vt:lpwstr>
      </vt:variant>
      <vt:variant>
        <vt:lpwstr/>
      </vt:variant>
      <vt:variant>
        <vt:i4>6029333</vt:i4>
      </vt:variant>
      <vt:variant>
        <vt:i4>234</vt:i4>
      </vt:variant>
      <vt:variant>
        <vt:i4>0</vt:i4>
      </vt:variant>
      <vt:variant>
        <vt:i4>5</vt:i4>
      </vt:variant>
      <vt:variant>
        <vt:lpwstr>https://rm.coe.int/168008371d</vt:lpwstr>
      </vt:variant>
      <vt:variant>
        <vt:lpwstr/>
      </vt:variant>
      <vt:variant>
        <vt:i4>1704034</vt:i4>
      </vt:variant>
      <vt:variant>
        <vt:i4>231</vt:i4>
      </vt:variant>
      <vt:variant>
        <vt:i4>0</vt:i4>
      </vt:variant>
      <vt:variant>
        <vt:i4>5</vt:i4>
      </vt:variant>
      <vt:variant>
        <vt:lpwstr>https://assets.publishing.service.gov.uk/media/6a0486afda82768016cb3ee9/MSSG_v4.6.pdf</vt:lpwstr>
      </vt:variant>
      <vt:variant>
        <vt:lpwstr/>
      </vt:variant>
      <vt:variant>
        <vt:i4>4063268</vt:i4>
      </vt:variant>
      <vt:variant>
        <vt:i4>228</vt:i4>
      </vt:variant>
      <vt:variant>
        <vt:i4>0</vt:i4>
      </vt:variant>
      <vt:variant>
        <vt:i4>5</vt:i4>
      </vt:variant>
      <vt:variant>
        <vt:lpwstr>https://www.biduk.org/articles/barriers-disclosure-a-survivor-of-trafficking-s-journey-through-the-immigration-process</vt:lpwstr>
      </vt:variant>
      <vt:variant>
        <vt:lpwstr/>
      </vt:variant>
      <vt:variant>
        <vt:i4>7798905</vt:i4>
      </vt:variant>
      <vt:variant>
        <vt:i4>222</vt:i4>
      </vt:variant>
      <vt:variant>
        <vt:i4>0</vt:i4>
      </vt:variant>
      <vt:variant>
        <vt:i4>5</vt:i4>
      </vt:variant>
      <vt:variant>
        <vt:lpwstr>https://www.theguardian.com/world/2025/apr/13/trafficking-victims-rejecting-uk-government-support-because-they-fear-being-deported</vt:lpwstr>
      </vt:variant>
      <vt:variant>
        <vt:lpwstr/>
      </vt:variant>
      <vt:variant>
        <vt:i4>720901</vt:i4>
      </vt:variant>
      <vt:variant>
        <vt:i4>219</vt:i4>
      </vt:variant>
      <vt:variant>
        <vt:i4>0</vt:i4>
      </vt:variant>
      <vt:variant>
        <vt:i4>5</vt:i4>
      </vt:variant>
      <vt:variant>
        <vt:lpwstr>https://www.helenbamber.org/resources/reportsbriefings/thousands-confirmed-trafficking-victims-denied-permission-stay-uk-and</vt:lpwstr>
      </vt:variant>
      <vt:variant>
        <vt:lpwstr/>
      </vt:variant>
      <vt:variant>
        <vt:i4>1310759</vt:i4>
      </vt:variant>
      <vt:variant>
        <vt:i4>216</vt:i4>
      </vt:variant>
      <vt:variant>
        <vt:i4>0</vt:i4>
      </vt:variant>
      <vt:variant>
        <vt:i4>5</vt:i4>
      </vt:variant>
      <vt:variant>
        <vt:lpwstr>https://www.justrightscotland.org.uk/wp-content/uploads/2026/05/GRETA_2026_03_FGR_GBR_EN.docx.pdf</vt:lpwstr>
      </vt:variant>
      <vt:variant>
        <vt:lpwstr/>
      </vt:variant>
      <vt:variant>
        <vt:i4>4390987</vt:i4>
      </vt:variant>
      <vt:variant>
        <vt:i4>213</vt:i4>
      </vt:variant>
      <vt:variant>
        <vt:i4>0</vt:i4>
      </vt:variant>
      <vt:variant>
        <vt:i4>5</vt:i4>
      </vt:variant>
      <vt:variant>
        <vt:lpwstr>https://www.antislaverycommissioner.co.uk/news-insights/new-report-anticipating-exploitation-a-futures-analysis/</vt:lpwstr>
      </vt:variant>
      <vt:variant>
        <vt:lpwstr/>
      </vt:variant>
      <vt:variant>
        <vt:i4>5898341</vt:i4>
      </vt:variant>
      <vt:variant>
        <vt:i4>210</vt:i4>
      </vt:variant>
      <vt:variant>
        <vt:i4>0</vt:i4>
      </vt:variant>
      <vt:variant>
        <vt:i4>5</vt:i4>
      </vt:variant>
      <vt:variant>
        <vt:lpwstr>https://www.gov.uk/government/statistics/modern-slavery-nrm-and-dtn-statistics-end-of-year-summary-2025/modern-slavery-national-referral-mechanism-and-duty-to-notify-statistics-uk-end-of-year-summary-2025?utm_source=mailerlite&amp;utm_medium=email&amp;utm_term=tue+07+jul+2026&amp;utm_campaign=weekly+blog+updates</vt:lpwstr>
      </vt:variant>
      <vt:variant>
        <vt:lpwstr/>
      </vt:variant>
      <vt:variant>
        <vt:i4>6553718</vt:i4>
      </vt:variant>
      <vt:variant>
        <vt:i4>207</vt:i4>
      </vt:variant>
      <vt:variant>
        <vt:i4>0</vt:i4>
      </vt:variant>
      <vt:variant>
        <vt:i4>5</vt:i4>
      </vt:variant>
      <vt:variant>
        <vt:lpwstr>https://www.antislavery.org/latest/the-new-immigration-and-asylum-bill-will-damage-modern-slavery-protections/</vt:lpwstr>
      </vt:variant>
      <vt:variant>
        <vt:lpwstr/>
      </vt:variant>
      <vt:variant>
        <vt:i4>5963776</vt:i4>
      </vt:variant>
      <vt:variant>
        <vt:i4>204</vt:i4>
      </vt:variant>
      <vt:variant>
        <vt:i4>0</vt:i4>
      </vt:variant>
      <vt:variant>
        <vt:i4>5</vt:i4>
      </vt:variant>
      <vt:variant>
        <vt:lpwstr>https://www.gov.uk/government/news/mahmood-myreforms-will-save-the-asylum-system-for-a-generation</vt:lpwstr>
      </vt:variant>
      <vt:variant>
        <vt:lpwstr/>
      </vt:variant>
      <vt:variant>
        <vt:i4>3014779</vt:i4>
      </vt:variant>
      <vt:variant>
        <vt:i4>201</vt:i4>
      </vt:variant>
      <vt:variant>
        <vt:i4>0</vt:i4>
      </vt:variant>
      <vt:variant>
        <vt:i4>5</vt:i4>
      </vt:variant>
      <vt:variant>
        <vt:lpwstr>https://www.gov.uk/government/publications/asylum-and-returns-policy-statement/restoring-order-and-control-a-statement-on-the-governments-asylum-and-returns-policy</vt:lpwstr>
      </vt:variant>
      <vt:variant>
        <vt:lpwstr/>
      </vt:variant>
      <vt:variant>
        <vt:i4>1769567</vt:i4>
      </vt:variant>
      <vt:variant>
        <vt:i4>195</vt:i4>
      </vt:variant>
      <vt:variant>
        <vt:i4>0</vt:i4>
      </vt:variant>
      <vt:variant>
        <vt:i4>5</vt:i4>
      </vt:variant>
      <vt:variant>
        <vt:lpwstr>https://www.gov.uk/government/news/asylum-seekers-will-pay-towards-costs-of-accommodation</vt:lpwstr>
      </vt:variant>
      <vt:variant>
        <vt:lpwstr/>
      </vt:variant>
      <vt:variant>
        <vt:i4>4128867</vt:i4>
      </vt:variant>
      <vt:variant>
        <vt:i4>192</vt:i4>
      </vt:variant>
      <vt:variant>
        <vt:i4>0</vt:i4>
      </vt:variant>
      <vt:variant>
        <vt:i4>5</vt:i4>
      </vt:variant>
      <vt:variant>
        <vt:lpwstr>https://www.gov.uk/government/publications/skilled-worker-visa-immigration-salary-list/skilled-worker-visa-immigration-salary-list</vt:lpwstr>
      </vt:variant>
      <vt:variant>
        <vt:lpwstr/>
      </vt:variant>
      <vt:variant>
        <vt:i4>5111877</vt:i4>
      </vt:variant>
      <vt:variant>
        <vt:i4>189</vt:i4>
      </vt:variant>
      <vt:variant>
        <vt:i4>0</vt:i4>
      </vt:variant>
      <vt:variant>
        <vt:i4>5</vt:i4>
      </vt:variant>
      <vt:variant>
        <vt:lpwstr>https://www.gov.uk/government/publications/working-whilst-an-asylum-claim-is-considered/working-in-the-uk-whilst-an-asylum-case-is-considered</vt:lpwstr>
      </vt:variant>
      <vt:variant>
        <vt:lpwstr/>
      </vt:variant>
      <vt:variant>
        <vt:i4>7143546</vt:i4>
      </vt:variant>
      <vt:variant>
        <vt:i4>186</vt:i4>
      </vt:variant>
      <vt:variant>
        <vt:i4>0</vt:i4>
      </vt:variant>
      <vt:variant>
        <vt:i4>5</vt:i4>
      </vt:variant>
      <vt:variant>
        <vt:lpwstr>https://ukandeu.ac.uk/does-the-ban-on-asylum-seekers-working-actually-work/</vt:lpwstr>
      </vt:variant>
      <vt:variant>
        <vt:lpwstr/>
      </vt:variant>
      <vt:variant>
        <vt:i4>7405618</vt:i4>
      </vt:variant>
      <vt:variant>
        <vt:i4>183</vt:i4>
      </vt:variant>
      <vt:variant>
        <vt:i4>0</vt:i4>
      </vt:variant>
      <vt:variant>
        <vt:i4>5</vt:i4>
      </vt:variant>
      <vt:variant>
        <vt:lpwstr>https://assets.redcross.org.uk/82b1e254-5524-0172-0612-9ce813c7824c/5d055b45-ae59-4cd3-a0bc-e4c2108dd51e/at-risk-exploitation-and-the-uk-asylum-system.pdf</vt:lpwstr>
      </vt:variant>
      <vt:variant>
        <vt:lpwstr/>
      </vt:variant>
      <vt:variant>
        <vt:i4>2490404</vt:i4>
      </vt:variant>
      <vt:variant>
        <vt:i4>180</vt:i4>
      </vt:variant>
      <vt:variant>
        <vt:i4>0</vt:i4>
      </vt:variant>
      <vt:variant>
        <vt:i4>5</vt:i4>
      </vt:variant>
      <vt:variant>
        <vt:lpwstr>https://cdn-d2po0k1vdlkvv.asylummatters.org/uploads/2023/12/Asylum-Matters-Surviving-in-Poverty-Report-A4-SINGLES-Dec-2023.pdf</vt:lpwstr>
      </vt:variant>
      <vt:variant>
        <vt:lpwstr/>
      </vt:variant>
      <vt:variant>
        <vt:i4>1376273</vt:i4>
      </vt:variant>
      <vt:variant>
        <vt:i4>177</vt:i4>
      </vt:variant>
      <vt:variant>
        <vt:i4>0</vt:i4>
      </vt:variant>
      <vt:variant>
        <vt:i4>5</vt:i4>
      </vt:variant>
      <vt:variant>
        <vt:lpwstr>https://www.gov.uk/asylum-support/what-youll-get</vt:lpwstr>
      </vt:variant>
      <vt:variant>
        <vt:lpwstr/>
      </vt:variant>
      <vt:variant>
        <vt:i4>6750262</vt:i4>
      </vt:variant>
      <vt:variant>
        <vt:i4>156</vt:i4>
      </vt:variant>
      <vt:variant>
        <vt:i4>0</vt:i4>
      </vt:variant>
      <vt:variant>
        <vt:i4>5</vt:i4>
      </vt:variant>
      <vt:variant>
        <vt:lpwstr>https://assets.publishing.service.gov.uk/media/69f9d239097169e6a7a76fd0/Nationality_policy_-_good_character.pdf</vt:lpwstr>
      </vt:variant>
      <vt:variant>
        <vt:lpwstr/>
      </vt:variant>
      <vt:variant>
        <vt:i4>4718687</vt:i4>
      </vt:variant>
      <vt:variant>
        <vt:i4>153</vt:i4>
      </vt:variant>
      <vt:variant>
        <vt:i4>0</vt:i4>
      </vt:variant>
      <vt:variant>
        <vt:i4>5</vt:i4>
      </vt:variant>
      <vt:variant>
        <vt:lpwstr>https://www.gov.uk/government/publications/family-reunion-instruction</vt:lpwstr>
      </vt:variant>
      <vt:variant>
        <vt:lpwstr/>
      </vt:variant>
      <vt:variant>
        <vt:i4>2031680</vt:i4>
      </vt:variant>
      <vt:variant>
        <vt:i4>150</vt:i4>
      </vt:variant>
      <vt:variant>
        <vt:i4>0</vt:i4>
      </vt:variant>
      <vt:variant>
        <vt:i4>5</vt:i4>
      </vt:variant>
      <vt:variant>
        <vt:lpwstr>https://publications.parliament.uk/pa/bills/cbill/59-02/0105/ECHRMemo.pdf</vt:lpwstr>
      </vt:variant>
      <vt:variant>
        <vt:lpwstr/>
      </vt:variant>
      <vt:variant>
        <vt:i4>5636180</vt:i4>
      </vt:variant>
      <vt:variant>
        <vt:i4>144</vt:i4>
      </vt:variant>
      <vt:variant>
        <vt:i4>0</vt:i4>
      </vt:variant>
      <vt:variant>
        <vt:i4>5</vt:i4>
      </vt:variant>
      <vt:variant>
        <vt:lpwstr>https://ilpa.org.uk/statement-of-consensus-november-2025/</vt:lpwstr>
      </vt:variant>
      <vt:variant>
        <vt:lpwstr/>
      </vt:variant>
      <vt:variant>
        <vt:i4>5636180</vt:i4>
      </vt:variant>
      <vt:variant>
        <vt:i4>141</vt:i4>
      </vt:variant>
      <vt:variant>
        <vt:i4>0</vt:i4>
      </vt:variant>
      <vt:variant>
        <vt:i4>5</vt:i4>
      </vt:variant>
      <vt:variant>
        <vt:lpwstr>https://ilpa.org.uk/statement-of-consensus-november-2025/</vt:lpwstr>
      </vt:variant>
      <vt:variant>
        <vt:lpwstr/>
      </vt:variant>
      <vt:variant>
        <vt:i4>6488065</vt:i4>
      </vt:variant>
      <vt:variant>
        <vt:i4>135</vt:i4>
      </vt:variant>
      <vt:variant>
        <vt:i4>0</vt:i4>
      </vt:variant>
      <vt:variant>
        <vt:i4>5</vt:i4>
      </vt:variant>
      <vt:variant>
        <vt:lpwstr>https://www.law.ox.ac.uk/sites/default/files/2025-09/European Convention on Human Rights and Immigration Control in the UK_4 Sept 2025.pdf</vt:lpwstr>
      </vt:variant>
      <vt:variant>
        <vt:lpwstr/>
      </vt:variant>
      <vt:variant>
        <vt:i4>7864416</vt:i4>
      </vt:variant>
      <vt:variant>
        <vt:i4>132</vt:i4>
      </vt:variant>
      <vt:variant>
        <vt:i4>0</vt:i4>
      </vt:variant>
      <vt:variant>
        <vt:i4>5</vt:i4>
      </vt:variant>
      <vt:variant>
        <vt:lpwstr>https://researchbriefings.files.parliament.uk/documents/CBP-10376/CBP-10376.pdf</vt:lpwstr>
      </vt:variant>
      <vt:variant>
        <vt:lpwstr/>
      </vt:variant>
      <vt:variant>
        <vt:i4>7274535</vt:i4>
      </vt:variant>
      <vt:variant>
        <vt:i4>129</vt:i4>
      </vt:variant>
      <vt:variant>
        <vt:i4>0</vt:i4>
      </vt:variant>
      <vt:variant>
        <vt:i4>5</vt:i4>
      </vt:variant>
      <vt:variant>
        <vt:lpwstr>https://ukandeu.ac.uk/explainers/does-the-european-convention-on-human-rights-stop-foreign-criminals-being-removed-from-the-uk/</vt:lpwstr>
      </vt:variant>
      <vt:variant>
        <vt:lpwstr/>
      </vt:variant>
      <vt:variant>
        <vt:i4>2818172</vt:i4>
      </vt:variant>
      <vt:variant>
        <vt:i4>126</vt:i4>
      </vt:variant>
      <vt:variant>
        <vt:i4>0</vt:i4>
      </vt:variant>
      <vt:variant>
        <vt:i4>5</vt:i4>
      </vt:variant>
      <vt:variant>
        <vt:lpwstr>https://www.europarl.europa.eu/RegData/etudes/BRIE/2026/782643/EPRS_BRI(2026)782643_EN.pdf</vt:lpwstr>
      </vt:variant>
      <vt:variant>
        <vt:lpwstr/>
      </vt:variant>
      <vt:variant>
        <vt:i4>196608</vt:i4>
      </vt:variant>
      <vt:variant>
        <vt:i4>123</vt:i4>
      </vt:variant>
      <vt:variant>
        <vt:i4>0</vt:i4>
      </vt:variant>
      <vt:variant>
        <vt:i4>5</vt:i4>
      </vt:variant>
      <vt:variant>
        <vt:lpwstr>https://www.coe.int/en/web/migration-and-refugees/frequently-asked-questions-european-court-of-human-rights-and-migration</vt:lpwstr>
      </vt:variant>
      <vt:variant>
        <vt:lpwstr/>
      </vt:variant>
      <vt:variant>
        <vt:i4>262209</vt:i4>
      </vt:variant>
      <vt:variant>
        <vt:i4>120</vt:i4>
      </vt:variant>
      <vt:variant>
        <vt:i4>0</vt:i4>
      </vt:variant>
      <vt:variant>
        <vt:i4>5</vt:i4>
      </vt:variant>
      <vt:variant>
        <vt:lpwstr>https://ukandeu.ac.uk/explainers/explainer-the-european-convention-on-human-rights-echr/</vt:lpwstr>
      </vt:variant>
      <vt:variant>
        <vt:lpwstr/>
      </vt:variant>
      <vt:variant>
        <vt:i4>4522014</vt:i4>
      </vt:variant>
      <vt:variant>
        <vt:i4>114</vt:i4>
      </vt:variant>
      <vt:variant>
        <vt:i4>0</vt:i4>
      </vt:variant>
      <vt:variant>
        <vt:i4>5</vt:i4>
      </vt:variant>
      <vt:variant>
        <vt:lpwstr>https://www.concern.net/news/refugees-stats-world-refugee-day</vt:lpwstr>
      </vt:variant>
      <vt:variant>
        <vt:lpwstr/>
      </vt:variant>
      <vt:variant>
        <vt:i4>7405683</vt:i4>
      </vt:variant>
      <vt:variant>
        <vt:i4>111</vt:i4>
      </vt:variant>
      <vt:variant>
        <vt:i4>0</vt:i4>
      </vt:variant>
      <vt:variant>
        <vt:i4>5</vt:i4>
      </vt:variant>
      <vt:variant>
        <vt:lpwstr>https://www.coe.int/en/web/commissioner/-/ending-restrictions-on-family-reunification-good-for-refugees-good-for-host-societies</vt:lpwstr>
      </vt:variant>
      <vt:variant>
        <vt:lpwstr/>
      </vt:variant>
      <vt:variant>
        <vt:i4>2031634</vt:i4>
      </vt:variant>
      <vt:variant>
        <vt:i4>108</vt:i4>
      </vt:variant>
      <vt:variant>
        <vt:i4>0</vt:i4>
      </vt:variant>
      <vt:variant>
        <vt:i4>5</vt:i4>
      </vt:variant>
      <vt:variant>
        <vt:lpwstr>https://rmcentre.org.uk/news/financial-requirements-on-family-visas/</vt:lpwstr>
      </vt:variant>
      <vt:variant>
        <vt:lpwstr/>
      </vt:variant>
      <vt:variant>
        <vt:i4>1114197</vt:i4>
      </vt:variant>
      <vt:variant>
        <vt:i4>105</vt:i4>
      </vt:variant>
      <vt:variant>
        <vt:i4>0</vt:i4>
      </vt:variant>
      <vt:variant>
        <vt:i4>5</vt:i4>
      </vt:variant>
      <vt:variant>
        <vt:lpwstr>https://lordslibrary.parliament.uk/integration-of-newly-recognised-refugees/</vt:lpwstr>
      </vt:variant>
      <vt:variant>
        <vt:lpwstr/>
      </vt:variant>
      <vt:variant>
        <vt:i4>3604592</vt:i4>
      </vt:variant>
      <vt:variant>
        <vt:i4>102</vt:i4>
      </vt:variant>
      <vt:variant>
        <vt:i4>0</vt:i4>
      </vt:variant>
      <vt:variant>
        <vt:i4>5</vt:i4>
      </vt:variant>
      <vt:variant>
        <vt:lpwstr>https://commonslibrary.parliament.uk/research-briefings/cbp-10399/</vt:lpwstr>
      </vt:variant>
      <vt:variant>
        <vt:lpwstr/>
      </vt:variant>
      <vt:variant>
        <vt:i4>5898311</vt:i4>
      </vt:variant>
      <vt:variant>
        <vt:i4>99</vt:i4>
      </vt:variant>
      <vt:variant>
        <vt:i4>0</vt:i4>
      </vt:variant>
      <vt:variant>
        <vt:i4>5</vt:i4>
      </vt:variant>
      <vt:variant>
        <vt:lpwstr>https://www.gov.uk/government/publications/statement-of-changes-to-the-immigration-rules-hc-1298-4-september-2025/economic-note-appendix-family-reunion-suspension-of-new-applications-accessible</vt:lpwstr>
      </vt:variant>
      <vt:variant>
        <vt:lpwstr/>
      </vt:variant>
      <vt:variant>
        <vt:i4>6160475</vt:i4>
      </vt:variant>
      <vt:variant>
        <vt:i4>81</vt:i4>
      </vt:variant>
      <vt:variant>
        <vt:i4>0</vt:i4>
      </vt:variant>
      <vt:variant>
        <vt:i4>5</vt:i4>
      </vt:variant>
      <vt:variant>
        <vt:lpwstr>https://medicaljustice.org.uk/wp-content/uploads/2026/04/2026_03_05-Detention-Taskforce-Briefing-Note-Barriers-to-Disclosure-FINAL.pdf</vt:lpwstr>
      </vt:variant>
      <vt:variant>
        <vt:lpwstr/>
      </vt:variant>
      <vt:variant>
        <vt:i4>7405640</vt:i4>
      </vt:variant>
      <vt:variant>
        <vt:i4>78</vt:i4>
      </vt:variant>
      <vt:variant>
        <vt:i4>0</vt:i4>
      </vt:variant>
      <vt:variant>
        <vt:i4>5</vt:i4>
      </vt:variant>
      <vt:variant>
        <vt:lpwstr>https://hubble-live-assets.s3.eu-west-1.amazonaws.com/biduk/file_asset/file/1697/Legal_Advice_Survey_Spring_2026_Final__1_.pdf</vt:lpwstr>
      </vt:variant>
      <vt:variant>
        <vt:lpwstr/>
      </vt:variant>
      <vt:variant>
        <vt:i4>3014779</vt:i4>
      </vt:variant>
      <vt:variant>
        <vt:i4>57</vt:i4>
      </vt:variant>
      <vt:variant>
        <vt:i4>0</vt:i4>
      </vt:variant>
      <vt:variant>
        <vt:i4>5</vt:i4>
      </vt:variant>
      <vt:variant>
        <vt:lpwstr>https://www.gov.uk/government/publications/asylum-and-returns-policy-statement/restoring-order-and-control-a-statement-on-the-governments-asylum-and-returns-policy</vt:lpwstr>
      </vt:variant>
      <vt:variant>
        <vt:lpwstr/>
      </vt:variant>
      <vt:variant>
        <vt:i4>4915200</vt:i4>
      </vt:variant>
      <vt:variant>
        <vt:i4>54</vt:i4>
      </vt:variant>
      <vt:variant>
        <vt:i4>0</vt:i4>
      </vt:variant>
      <vt:variant>
        <vt:i4>5</vt:i4>
      </vt:variant>
      <vt:variant>
        <vt:lpwstr>https://www.gov.uk/government/news/new-independent-appeals-body-to-speed-up-removals</vt:lpwstr>
      </vt:variant>
      <vt:variant>
        <vt:lpwstr>:~:text=Home%20Secretary%20Shabana%20Mahmood%20said,are%20heard%20swiftly%20and%20fairly.</vt:lpwstr>
      </vt:variant>
      <vt:variant>
        <vt:i4>4390940</vt:i4>
      </vt:variant>
      <vt:variant>
        <vt:i4>48</vt:i4>
      </vt:variant>
      <vt:variant>
        <vt:i4>0</vt:i4>
      </vt:variant>
      <vt:variant>
        <vt:i4>5</vt:i4>
      </vt:variant>
      <vt:variant>
        <vt:lpwstr>https://freemovement.org.uk/new-legal-aid-rates-for-immigration-and-asylum-work-to-take-effect-from-22-december-2025/</vt:lpwstr>
      </vt:variant>
      <vt:variant>
        <vt:lpwstr/>
      </vt:variant>
      <vt:variant>
        <vt:i4>2097208</vt:i4>
      </vt:variant>
      <vt:variant>
        <vt:i4>45</vt:i4>
      </vt:variant>
      <vt:variant>
        <vt:i4>0</vt:i4>
      </vt:variant>
      <vt:variant>
        <vt:i4>5</vt:i4>
      </vt:variant>
      <vt:variant>
        <vt:lpwstr>https://publications.parliament.uk/pa/cm200304/cmselect/cmconst/211/211.pdf</vt:lpwstr>
      </vt:variant>
      <vt:variant>
        <vt:lpwstr/>
      </vt:variant>
      <vt:variant>
        <vt:i4>7798880</vt:i4>
      </vt:variant>
      <vt:variant>
        <vt:i4>42</vt:i4>
      </vt:variant>
      <vt:variant>
        <vt:i4>0</vt:i4>
      </vt:variant>
      <vt:variant>
        <vt:i4>5</vt:i4>
      </vt:variant>
      <vt:variant>
        <vt:lpwstr>https://www.refugeecouncil.org.uk/press-office/media-centre/number-of-people-waiting-for-asylum-appeal-almost-doubles/</vt:lpwstr>
      </vt:variant>
      <vt:variant>
        <vt:lpwstr/>
      </vt:variant>
      <vt:variant>
        <vt:i4>262156</vt:i4>
      </vt:variant>
      <vt:variant>
        <vt:i4>39</vt:i4>
      </vt:variant>
      <vt:variant>
        <vt:i4>0</vt:i4>
      </vt:variant>
      <vt:variant>
        <vt:i4>5</vt:i4>
      </vt:variant>
      <vt:variant>
        <vt:lpwstr>https://freemovement.org.uk/briefing-the-sorry-state-of-the-uk-asylum-system/</vt:lpwstr>
      </vt:variant>
      <vt:variant>
        <vt:lpwstr/>
      </vt:variant>
      <vt:variant>
        <vt:i4>4784144</vt:i4>
      </vt:variant>
      <vt:variant>
        <vt:i4>36</vt:i4>
      </vt:variant>
      <vt:variant>
        <vt:i4>0</vt:i4>
      </vt:variant>
      <vt:variant>
        <vt:i4>5</vt:i4>
      </vt:variant>
      <vt:variant>
        <vt:lpwstr>https://www.theguardian.com/uk-news/2024/dec/08/home-office-says-only-half-of-uk-asylum-decisions-meet-its-quality-standards</vt:lpwstr>
      </vt:variant>
      <vt:variant>
        <vt:lpwstr/>
      </vt:variant>
      <vt:variant>
        <vt:i4>7143549</vt:i4>
      </vt:variant>
      <vt:variant>
        <vt:i4>30</vt:i4>
      </vt:variant>
      <vt:variant>
        <vt:i4>0</vt:i4>
      </vt:variant>
      <vt:variant>
        <vt:i4>5</vt:i4>
      </vt:variant>
      <vt:variant>
        <vt:lpwstr>https://www.nao.org.uk/wp-content/uploads/2025/12/an-analysis-of-the-asylum-system.pdf</vt:lpwstr>
      </vt:variant>
      <vt:variant>
        <vt:lpwstr/>
      </vt:variant>
      <vt:variant>
        <vt:i4>3997800</vt:i4>
      </vt:variant>
      <vt:variant>
        <vt:i4>27</vt:i4>
      </vt:variant>
      <vt:variant>
        <vt:i4>0</vt:i4>
      </vt:variant>
      <vt:variant>
        <vt:i4>5</vt:i4>
      </vt:variant>
      <vt:variant>
        <vt:lpwstr>https://ilpa.org.uk/wp-content/uploads/2026/05/26.05.05-The-New-Independent-Appeals-Body-ILPA-response.pdf</vt:lpwstr>
      </vt:variant>
      <vt:variant>
        <vt:lpwstr/>
      </vt:variant>
      <vt:variant>
        <vt:i4>4915200</vt:i4>
      </vt:variant>
      <vt:variant>
        <vt:i4>24</vt:i4>
      </vt:variant>
      <vt:variant>
        <vt:i4>0</vt:i4>
      </vt:variant>
      <vt:variant>
        <vt:i4>5</vt:i4>
      </vt:variant>
      <vt:variant>
        <vt:lpwstr>https://www.gov.uk/government/news/new-independent-appeals-body-to-speed-up-removals</vt:lpwstr>
      </vt:variant>
      <vt:variant>
        <vt:lpwstr>:~:text=Home%20Secretary%20Shabana%20Mahmood%20said,are%20heard%20swiftly%20and%20fairly.</vt:lpwstr>
      </vt:variant>
      <vt:variant>
        <vt:i4>5505035</vt:i4>
      </vt:variant>
      <vt:variant>
        <vt:i4>15</vt:i4>
      </vt:variant>
      <vt:variant>
        <vt:i4>0</vt:i4>
      </vt:variant>
      <vt:variant>
        <vt:i4>5</vt:i4>
      </vt:variant>
      <vt:variant>
        <vt:lpwstr>https://questions-statements.parliament.uk/written-statements/detail/2026-03-02/hcws1373</vt:lpwstr>
      </vt:variant>
      <vt:variant>
        <vt:lpwstr/>
      </vt:variant>
      <vt:variant>
        <vt:i4>5308437</vt:i4>
      </vt:variant>
      <vt:variant>
        <vt:i4>12</vt:i4>
      </vt:variant>
      <vt:variant>
        <vt:i4>0</vt:i4>
      </vt:variant>
      <vt:variant>
        <vt:i4>5</vt:i4>
      </vt:variant>
      <vt:variant>
        <vt:lpwstr>https://www.gov.uk/government/news/refugee-protection-to-be-reviewed-every-30-months</vt:lpwstr>
      </vt:variant>
      <vt:variant>
        <vt:lpwstr/>
      </vt:variant>
      <vt:variant>
        <vt:i4>7536767</vt:i4>
      </vt:variant>
      <vt:variant>
        <vt:i4>9</vt:i4>
      </vt:variant>
      <vt:variant>
        <vt:i4>0</vt:i4>
      </vt:variant>
      <vt:variant>
        <vt:i4>5</vt:i4>
      </vt:variant>
      <vt:variant>
        <vt:lpwstr>https://assets.publishing.service.gov.uk/media/691edda450b16caf978153d8/Command_Paper_final_-_reviewed7.pdf</vt:lpwstr>
      </vt:variant>
      <vt:variant>
        <vt:lpwstr/>
      </vt:variant>
      <vt:variant>
        <vt:i4>327747</vt:i4>
      </vt:variant>
      <vt:variant>
        <vt:i4>6</vt:i4>
      </vt:variant>
      <vt:variant>
        <vt:i4>0</vt:i4>
      </vt:variant>
      <vt:variant>
        <vt:i4>5</vt:i4>
      </vt:variant>
      <vt:variant>
        <vt:lpwstr>https://freemovement.org.uk/over-half-the-people-seeking-asylum-are-now-unable-to-access-a-legal-aid-lawyer/</vt:lpwstr>
      </vt:variant>
      <vt:variant>
        <vt:lpwstr/>
      </vt:variant>
      <vt:variant>
        <vt:i4>7143549</vt:i4>
      </vt:variant>
      <vt:variant>
        <vt:i4>3</vt:i4>
      </vt:variant>
      <vt:variant>
        <vt:i4>0</vt:i4>
      </vt:variant>
      <vt:variant>
        <vt:i4>5</vt:i4>
      </vt:variant>
      <vt:variant>
        <vt:lpwstr>https://www.nao.org.uk/wp-content/uploads/2025/12/an-analysis-of-the-asylum-system.pdf</vt:lpwstr>
      </vt:variant>
      <vt:variant>
        <vt:lpwstr/>
      </vt:variant>
      <vt:variant>
        <vt:i4>5898341</vt:i4>
      </vt:variant>
      <vt:variant>
        <vt:i4>0</vt:i4>
      </vt:variant>
      <vt:variant>
        <vt:i4>0</vt:i4>
      </vt:variant>
      <vt:variant>
        <vt:i4>5</vt:i4>
      </vt:variant>
      <vt:variant>
        <vt:lpwstr>https://www.gov.uk/government/statistics/modern-slavery-nrm-and-dtn-statistics-end-of-year-summary-2025/modern-slavery-national-referral-mechanism-and-duty-to-notify-statistics-uk-end-of-year-summary-2025?utm_source=mailerlite&amp;utm_medium=email&amp;utm_term=tue+07+jul+2026&amp;utm_campaign=weekly+blog+up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Godfrey</dc:creator>
  <cp:keywords/>
  <dc:description/>
  <cp:lastModifiedBy>Sabrina Galella</cp:lastModifiedBy>
  <cp:revision>430</cp:revision>
  <cp:lastPrinted>2026-07-10T06:41:00Z</cp:lastPrinted>
  <dcterms:created xsi:type="dcterms:W3CDTF">2026-07-09T07:27:00Z</dcterms:created>
  <dcterms:modified xsi:type="dcterms:W3CDTF">2026-08-27T11:17:00Z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0x010100F49BA7E94C131D4AA76DA8D9C880655B</vt:lpwstr>
  </property>
  <property fmtid="{D5CDD505-2E9C-101B-9397-08002B2CF9AE}" pid="3" name="MediaServiceImageTags">
    <vt:lpwstr/>
  </property>
</Properties>
</file>