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86" w:rsidRDefault="00EE0286" w:rsidP="00EE0286">
      <w:pPr>
        <w:ind w:left="0" w:firstLine="0"/>
        <w:rPr>
          <w:rFonts w:ascii="Arial" w:hAnsi="Arial" w:cs="Arial"/>
          <w:b/>
          <w:sz w:val="32"/>
          <w:szCs w:val="32"/>
        </w:rPr>
      </w:pPr>
      <w:r w:rsidRPr="00EE0286">
        <w:rPr>
          <w:rFonts w:ascii="Arial" w:hAnsi="Arial" w:cs="Arial"/>
          <w:b/>
          <w:sz w:val="32"/>
          <w:szCs w:val="32"/>
        </w:rPr>
        <w:t>The common requirements of the Start-</w:t>
      </w:r>
      <w:r w:rsidR="002C5A93">
        <w:rPr>
          <w:rFonts w:ascii="Arial" w:hAnsi="Arial" w:cs="Arial"/>
          <w:b/>
          <w:sz w:val="32"/>
          <w:szCs w:val="32"/>
        </w:rPr>
        <w:t>u</w:t>
      </w:r>
      <w:r w:rsidRPr="00EE0286">
        <w:rPr>
          <w:rFonts w:ascii="Arial" w:hAnsi="Arial" w:cs="Arial"/>
          <w:b/>
          <w:sz w:val="32"/>
          <w:szCs w:val="32"/>
        </w:rPr>
        <w:t>p and Innovator categories</w:t>
      </w:r>
    </w:p>
    <w:p w:rsidR="00F71C50" w:rsidRPr="00BD3E5C" w:rsidRDefault="00EE0286" w:rsidP="00F71C50">
      <w:pPr>
        <w:spacing w:after="0" w:line="240" w:lineRule="auto"/>
        <w:ind w:left="0" w:firstLine="0"/>
        <w:rPr>
          <w:rFonts w:ascii="Arial" w:eastAsia="Times New Roman" w:hAnsi="Arial" w:cs="Arial"/>
          <w:b/>
          <w:color w:val="000000"/>
          <w:lang w:eastAsia="en-GB"/>
        </w:rPr>
      </w:pPr>
      <w:r w:rsidRPr="00BD3E5C">
        <w:rPr>
          <w:rFonts w:ascii="Arial" w:eastAsia="Times New Roman" w:hAnsi="Arial" w:cs="Arial"/>
          <w:b/>
          <w:color w:val="000000"/>
          <w:lang w:eastAsia="en-GB"/>
        </w:rPr>
        <w:t>The overall approach of Appendix W</w:t>
      </w:r>
    </w:p>
    <w:p w:rsidR="00EE0286" w:rsidRDefault="00EE0286" w:rsidP="00F71C50">
      <w:pPr>
        <w:spacing w:after="0" w:line="240" w:lineRule="auto"/>
        <w:ind w:left="0" w:firstLine="0"/>
        <w:rPr>
          <w:rFonts w:ascii="Arial" w:eastAsia="Times New Roman" w:hAnsi="Arial" w:cs="Arial"/>
          <w:color w:val="000000"/>
          <w:u w:val="single"/>
          <w:lang w:eastAsia="en-GB"/>
        </w:rPr>
      </w:pPr>
    </w:p>
    <w:p w:rsidR="00737F52" w:rsidRDefault="006C3CD5" w:rsidP="006C3CD5">
      <w:pPr>
        <w:spacing w:after="0" w:line="240" w:lineRule="auto"/>
        <w:ind w:left="0" w:firstLine="0"/>
        <w:rPr>
          <w:rFonts w:ascii="Arial" w:eastAsia="Times New Roman" w:hAnsi="Arial" w:cs="Arial"/>
          <w:color w:val="000000"/>
          <w:lang w:eastAsia="en-GB"/>
        </w:rPr>
      </w:pPr>
      <w:r>
        <w:rPr>
          <w:rFonts w:ascii="Arial" w:eastAsia="Times New Roman" w:hAnsi="Arial" w:cs="Arial"/>
          <w:color w:val="000000"/>
          <w:lang w:eastAsia="en-GB"/>
        </w:rPr>
        <w:t xml:space="preserve">Appendix W is a new Appendix </w:t>
      </w:r>
      <w:r w:rsidR="001039C5">
        <w:rPr>
          <w:rFonts w:ascii="Arial" w:eastAsia="Times New Roman" w:hAnsi="Arial" w:cs="Arial"/>
          <w:color w:val="000000"/>
          <w:lang w:eastAsia="en-GB"/>
        </w:rPr>
        <w:t xml:space="preserve">to the Immigration Rules, </w:t>
      </w:r>
      <w:r w:rsidR="00EE0286">
        <w:rPr>
          <w:rFonts w:ascii="Arial" w:eastAsia="Times New Roman" w:hAnsi="Arial" w:cs="Arial"/>
          <w:color w:val="000000"/>
          <w:lang w:eastAsia="en-GB"/>
        </w:rPr>
        <w:t xml:space="preserve">which the Home Office </w:t>
      </w:r>
      <w:r w:rsidR="00C15980">
        <w:rPr>
          <w:rFonts w:ascii="Arial" w:eastAsia="Times New Roman" w:hAnsi="Arial" w:cs="Arial"/>
          <w:color w:val="000000"/>
          <w:lang w:eastAsia="en-GB"/>
        </w:rPr>
        <w:t xml:space="preserve">intends </w:t>
      </w:r>
      <w:r w:rsidR="00EE0286">
        <w:rPr>
          <w:rFonts w:ascii="Arial" w:eastAsia="Times New Roman" w:hAnsi="Arial" w:cs="Arial"/>
          <w:color w:val="000000"/>
          <w:lang w:eastAsia="en-GB"/>
        </w:rPr>
        <w:t xml:space="preserve">to apply to all </w:t>
      </w:r>
      <w:r w:rsidR="00C15980">
        <w:rPr>
          <w:rFonts w:ascii="Arial" w:eastAsia="Times New Roman" w:hAnsi="Arial" w:cs="Arial"/>
          <w:color w:val="000000"/>
          <w:lang w:eastAsia="en-GB"/>
        </w:rPr>
        <w:t>workers.</w:t>
      </w:r>
      <w:r w:rsidR="00737F52">
        <w:rPr>
          <w:rFonts w:ascii="Arial" w:eastAsia="Times New Roman" w:hAnsi="Arial" w:cs="Arial"/>
          <w:color w:val="000000"/>
          <w:lang w:eastAsia="en-GB"/>
        </w:rPr>
        <w:t xml:space="preserve"> As drafted, it only currently applies to the Start-up and the Innovator visa. There are several </w:t>
      </w:r>
      <w:r>
        <w:rPr>
          <w:rFonts w:ascii="Arial" w:eastAsia="Times New Roman" w:hAnsi="Arial" w:cs="Arial"/>
          <w:color w:val="000000"/>
          <w:lang w:eastAsia="en-GB"/>
        </w:rPr>
        <w:t>provisions which are common</w:t>
      </w:r>
      <w:r w:rsidRPr="006C3CD5">
        <w:rPr>
          <w:rFonts w:ascii="Arial" w:eastAsia="Times New Roman" w:hAnsi="Arial" w:cs="Arial"/>
          <w:color w:val="000000"/>
          <w:lang w:eastAsia="en-GB"/>
        </w:rPr>
        <w:t xml:space="preserve"> </w:t>
      </w:r>
      <w:r w:rsidR="001E0186">
        <w:rPr>
          <w:rFonts w:ascii="Arial" w:eastAsia="Times New Roman" w:hAnsi="Arial" w:cs="Arial"/>
          <w:color w:val="000000"/>
          <w:lang w:eastAsia="en-GB"/>
        </w:rPr>
        <w:t>to both types of visa, and which</w:t>
      </w:r>
      <w:r w:rsidR="001039C5">
        <w:rPr>
          <w:rFonts w:ascii="Arial" w:eastAsia="Times New Roman" w:hAnsi="Arial" w:cs="Arial"/>
          <w:color w:val="000000"/>
          <w:lang w:eastAsia="en-GB"/>
        </w:rPr>
        <w:t>, it is expected,</w:t>
      </w:r>
      <w:r w:rsidR="001E0186">
        <w:rPr>
          <w:rFonts w:ascii="Arial" w:eastAsia="Times New Roman" w:hAnsi="Arial" w:cs="Arial"/>
          <w:color w:val="000000"/>
          <w:lang w:eastAsia="en-GB"/>
        </w:rPr>
        <w:t xml:space="preserve"> will eventually be common to all visas in Appendix W.</w:t>
      </w:r>
    </w:p>
    <w:p w:rsidR="002C5A93" w:rsidRDefault="002C5A93" w:rsidP="006C3CD5">
      <w:pPr>
        <w:spacing w:after="0" w:line="240" w:lineRule="auto"/>
        <w:ind w:left="0" w:firstLine="0"/>
        <w:rPr>
          <w:rFonts w:ascii="Arial" w:eastAsia="Times New Roman" w:hAnsi="Arial" w:cs="Arial"/>
          <w:color w:val="000000"/>
          <w:lang w:eastAsia="en-GB"/>
        </w:rPr>
      </w:pPr>
    </w:p>
    <w:p w:rsidR="002C5A93" w:rsidRDefault="002C5A93" w:rsidP="006C3CD5">
      <w:pPr>
        <w:spacing w:after="0" w:line="240" w:lineRule="auto"/>
        <w:ind w:left="0" w:firstLine="0"/>
        <w:rPr>
          <w:rFonts w:ascii="Arial" w:eastAsia="Times New Roman" w:hAnsi="Arial" w:cs="Arial"/>
          <w:color w:val="000000"/>
          <w:lang w:eastAsia="en-GB"/>
        </w:rPr>
      </w:pPr>
      <w:r>
        <w:rPr>
          <w:rFonts w:ascii="Arial" w:eastAsia="Times New Roman" w:hAnsi="Arial" w:cs="Arial"/>
          <w:color w:val="000000"/>
          <w:lang w:eastAsia="en-GB"/>
        </w:rPr>
        <w:t xml:space="preserve">This information sheet leaves out the more general requirements such as the genuineness test, the requirement not to be in breach of the immigration laws and that the applicant must be at least 18 years old. Rather, it focuses on the criteria common to </w:t>
      </w:r>
      <w:r w:rsidRPr="002C5A93">
        <w:rPr>
          <w:rFonts w:ascii="Arial" w:eastAsia="Times New Roman" w:hAnsi="Arial" w:cs="Arial"/>
          <w:color w:val="000000"/>
          <w:lang w:eastAsia="en-GB"/>
        </w:rPr>
        <w:t>the Start-</w:t>
      </w:r>
      <w:r>
        <w:rPr>
          <w:rFonts w:ascii="Arial" w:eastAsia="Times New Roman" w:hAnsi="Arial" w:cs="Arial"/>
          <w:color w:val="000000"/>
          <w:lang w:eastAsia="en-GB"/>
        </w:rPr>
        <w:t>u</w:t>
      </w:r>
      <w:r w:rsidRPr="002C5A93">
        <w:rPr>
          <w:rFonts w:ascii="Arial" w:eastAsia="Times New Roman" w:hAnsi="Arial" w:cs="Arial"/>
          <w:color w:val="000000"/>
          <w:lang w:eastAsia="en-GB"/>
        </w:rPr>
        <w:t>p and Innovator categories</w:t>
      </w:r>
      <w:r w:rsidR="00A62ECD">
        <w:rPr>
          <w:rFonts w:ascii="Arial" w:eastAsia="Times New Roman" w:hAnsi="Arial" w:cs="Arial"/>
          <w:color w:val="000000"/>
          <w:lang w:eastAsia="en-GB"/>
        </w:rPr>
        <w:t xml:space="preserve"> which may require explaining.</w:t>
      </w:r>
    </w:p>
    <w:p w:rsidR="00B31A22" w:rsidRPr="00BD3E5C" w:rsidRDefault="00B31A22" w:rsidP="00F71C50">
      <w:pPr>
        <w:spacing w:after="0" w:line="240" w:lineRule="auto"/>
        <w:ind w:left="0" w:firstLine="0"/>
        <w:rPr>
          <w:rFonts w:ascii="Arial" w:eastAsia="Times New Roman" w:hAnsi="Arial" w:cs="Arial"/>
          <w:b/>
          <w:color w:val="000000"/>
          <w:lang w:eastAsia="en-GB"/>
        </w:rPr>
      </w:pPr>
    </w:p>
    <w:p w:rsidR="00B31A22" w:rsidRPr="00BD3E5C" w:rsidRDefault="00B31A22" w:rsidP="00F71C50">
      <w:pPr>
        <w:spacing w:after="0" w:line="240" w:lineRule="auto"/>
        <w:ind w:left="0" w:firstLine="0"/>
        <w:rPr>
          <w:rFonts w:ascii="Arial" w:eastAsia="Times New Roman" w:hAnsi="Arial" w:cs="Arial"/>
          <w:b/>
          <w:color w:val="000000"/>
          <w:lang w:eastAsia="en-GB"/>
        </w:rPr>
      </w:pPr>
      <w:r w:rsidRPr="00BD3E5C">
        <w:rPr>
          <w:rFonts w:ascii="Arial" w:eastAsia="Times New Roman" w:hAnsi="Arial" w:cs="Arial"/>
          <w:b/>
          <w:color w:val="000000"/>
          <w:lang w:eastAsia="en-GB"/>
        </w:rPr>
        <w:t>The requirements in Appendix W</w:t>
      </w:r>
    </w:p>
    <w:p w:rsidR="00EE0286" w:rsidRDefault="00EE0286" w:rsidP="00F71C50">
      <w:pPr>
        <w:spacing w:after="0" w:line="240" w:lineRule="auto"/>
        <w:ind w:left="0" w:firstLine="0"/>
        <w:rPr>
          <w:rFonts w:ascii="Arial" w:eastAsia="Times New Roman" w:hAnsi="Arial" w:cs="Arial"/>
          <w:color w:val="000000"/>
          <w:lang w:eastAsia="en-GB"/>
        </w:rPr>
      </w:pPr>
    </w:p>
    <w:p w:rsidR="00F71C50" w:rsidRPr="00592658" w:rsidRDefault="00F71C50" w:rsidP="00F71C50">
      <w:pPr>
        <w:spacing w:after="0" w:line="240" w:lineRule="auto"/>
        <w:ind w:left="0" w:firstLine="0"/>
        <w:rPr>
          <w:rFonts w:ascii="Times New Roman" w:eastAsia="Times New Roman" w:hAnsi="Times New Roman" w:cs="Times New Roman"/>
          <w:sz w:val="24"/>
          <w:szCs w:val="24"/>
          <w:lang w:eastAsia="en-GB"/>
        </w:rPr>
      </w:pPr>
      <w:r w:rsidRPr="00592658">
        <w:rPr>
          <w:rFonts w:ascii="Arial" w:eastAsia="Times New Roman" w:hAnsi="Arial" w:cs="Arial"/>
          <w:color w:val="000000"/>
          <w:lang w:eastAsia="en-GB"/>
        </w:rPr>
        <w:t>Leave under both categories will be subject to a fully inclusive list of conditions. The prospective migrant must not (a) undertake employment as a doctor or dentist in training or (b) undertake employment as a professional sp</w:t>
      </w:r>
      <w:r w:rsidR="001E0186">
        <w:rPr>
          <w:rFonts w:ascii="Arial" w:eastAsia="Times New Roman" w:hAnsi="Arial" w:cs="Arial"/>
          <w:color w:val="000000"/>
          <w:lang w:eastAsia="en-GB"/>
        </w:rPr>
        <w:t xml:space="preserve">ortsperson, including coaches. </w:t>
      </w:r>
      <w:r w:rsidRPr="00592658">
        <w:rPr>
          <w:rFonts w:ascii="Arial" w:eastAsia="Times New Roman" w:hAnsi="Arial" w:cs="Arial"/>
          <w:color w:val="000000"/>
          <w:lang w:eastAsia="en-GB"/>
        </w:rPr>
        <w:t>Finally, innovators must not undertake employment other than working for the business/es that the applicant has established.</w:t>
      </w:r>
    </w:p>
    <w:p w:rsidR="00F71C50" w:rsidRPr="00592658" w:rsidRDefault="00F71C50" w:rsidP="00F71C50">
      <w:pPr>
        <w:spacing w:after="0" w:line="240" w:lineRule="auto"/>
        <w:ind w:left="0" w:firstLine="0"/>
        <w:rPr>
          <w:rFonts w:ascii="Times New Roman" w:eastAsia="Times New Roman" w:hAnsi="Times New Roman" w:cs="Times New Roman"/>
          <w:sz w:val="24"/>
          <w:szCs w:val="24"/>
          <w:lang w:eastAsia="en-GB"/>
        </w:rPr>
      </w:pPr>
      <w:r w:rsidRPr="00592658">
        <w:rPr>
          <w:rFonts w:ascii="Arial" w:eastAsia="Times New Roman" w:hAnsi="Arial" w:cs="Arial"/>
          <w:color w:val="000000"/>
          <w:lang w:eastAsia="en-GB"/>
        </w:rPr>
        <w:t xml:space="preserve"> </w:t>
      </w:r>
    </w:p>
    <w:p w:rsidR="00F71C50" w:rsidRPr="00592658" w:rsidRDefault="00F71C50" w:rsidP="00F71C50">
      <w:pPr>
        <w:spacing w:after="0" w:line="240" w:lineRule="auto"/>
        <w:ind w:left="0" w:firstLine="0"/>
        <w:rPr>
          <w:rFonts w:ascii="Times New Roman" w:eastAsia="Times New Roman" w:hAnsi="Times New Roman" w:cs="Times New Roman"/>
          <w:sz w:val="24"/>
          <w:szCs w:val="24"/>
          <w:lang w:eastAsia="en-GB"/>
        </w:rPr>
      </w:pPr>
      <w:r w:rsidRPr="00592658">
        <w:rPr>
          <w:rFonts w:ascii="Arial" w:eastAsia="Times New Roman" w:hAnsi="Arial" w:cs="Arial"/>
          <w:color w:val="000000"/>
          <w:lang w:eastAsia="en-GB"/>
        </w:rPr>
        <w:t xml:space="preserve">The </w:t>
      </w:r>
      <w:r w:rsidR="001E0186">
        <w:rPr>
          <w:rFonts w:ascii="Arial" w:eastAsia="Times New Roman" w:hAnsi="Arial" w:cs="Arial"/>
          <w:color w:val="000000"/>
          <w:lang w:eastAsia="en-GB"/>
        </w:rPr>
        <w:t>R</w:t>
      </w:r>
      <w:r w:rsidRPr="00592658">
        <w:rPr>
          <w:rFonts w:ascii="Arial" w:eastAsia="Times New Roman" w:hAnsi="Arial" w:cs="Arial"/>
          <w:color w:val="000000"/>
          <w:lang w:eastAsia="en-GB"/>
        </w:rPr>
        <w:t>ules go on to clarify that: “</w:t>
      </w:r>
      <w:r w:rsidRPr="00592658">
        <w:rPr>
          <w:rFonts w:ascii="Arial" w:eastAsia="Times New Roman" w:hAnsi="Arial" w:cs="Arial"/>
          <w:i/>
          <w:iCs/>
          <w:color w:val="000000"/>
          <w:lang w:eastAsia="en-GB"/>
        </w:rPr>
        <w:t>working for such business(es) does not include any work pursuant to a contract of service or apprenticeship, whether express or implied and whether oral or written, with another business. This means successful applicants cannot effectively fill a position or hire their labour to another business, even if the work is undertaken through contracting with the applicant’s own business or through a recruitment or employment agency.</w:t>
      </w:r>
      <w:r w:rsidRPr="00592658">
        <w:rPr>
          <w:rFonts w:ascii="Arial" w:eastAsia="Times New Roman" w:hAnsi="Arial" w:cs="Arial"/>
          <w:color w:val="000000"/>
          <w:lang w:eastAsia="en-GB"/>
        </w:rPr>
        <w:t>”</w:t>
      </w:r>
      <w:r w:rsidR="009D3C7C">
        <w:rPr>
          <w:rFonts w:ascii="Arial" w:eastAsia="Times New Roman" w:hAnsi="Arial" w:cs="Arial"/>
          <w:color w:val="000000"/>
          <w:lang w:eastAsia="en-GB"/>
        </w:rPr>
        <w:t xml:space="preserve"> (</w:t>
      </w:r>
      <w:hyperlink r:id="rId8" w:anchor="residentworker" w:history="1">
        <w:r w:rsidR="009D3C7C" w:rsidRPr="00375847">
          <w:rPr>
            <w:rStyle w:val="Hyperlink"/>
            <w:rFonts w:ascii="Arial" w:eastAsia="Times New Roman" w:hAnsi="Arial" w:cs="Arial"/>
            <w:lang w:eastAsia="en-GB"/>
          </w:rPr>
          <w:t>W2.2</w:t>
        </w:r>
      </w:hyperlink>
      <w:r w:rsidR="009D3C7C">
        <w:rPr>
          <w:rFonts w:ascii="Arial" w:eastAsia="Times New Roman" w:hAnsi="Arial" w:cs="Arial"/>
          <w:color w:val="000000"/>
          <w:lang w:eastAsia="en-GB"/>
        </w:rPr>
        <w:t>)</w:t>
      </w:r>
    </w:p>
    <w:p w:rsidR="00F71C50" w:rsidRPr="00592658" w:rsidRDefault="00F71C50" w:rsidP="00F71C50">
      <w:pPr>
        <w:spacing w:after="0" w:line="240" w:lineRule="auto"/>
        <w:ind w:left="0" w:firstLine="0"/>
        <w:rPr>
          <w:rFonts w:ascii="Times New Roman" w:eastAsia="Times New Roman" w:hAnsi="Times New Roman" w:cs="Times New Roman"/>
          <w:sz w:val="24"/>
          <w:szCs w:val="24"/>
          <w:lang w:eastAsia="en-GB"/>
        </w:rPr>
      </w:pPr>
      <w:r w:rsidRPr="00592658">
        <w:rPr>
          <w:rFonts w:ascii="Arial" w:eastAsia="Times New Roman" w:hAnsi="Arial" w:cs="Arial"/>
          <w:color w:val="000000"/>
          <w:lang w:eastAsia="en-GB"/>
        </w:rPr>
        <w:t xml:space="preserve"> </w:t>
      </w:r>
    </w:p>
    <w:p w:rsidR="001E0186" w:rsidRDefault="00F71C50" w:rsidP="00F71C50">
      <w:pPr>
        <w:spacing w:after="0" w:line="240" w:lineRule="auto"/>
        <w:ind w:left="0" w:firstLine="0"/>
        <w:rPr>
          <w:rFonts w:ascii="Arial" w:eastAsia="Times New Roman" w:hAnsi="Arial" w:cs="Arial"/>
          <w:color w:val="000000"/>
          <w:lang w:eastAsia="en-GB"/>
        </w:rPr>
      </w:pPr>
      <w:r w:rsidRPr="00592658">
        <w:rPr>
          <w:rFonts w:ascii="Arial" w:eastAsia="Times New Roman" w:hAnsi="Arial" w:cs="Arial"/>
          <w:color w:val="000000"/>
          <w:lang w:eastAsia="en-GB"/>
        </w:rPr>
        <w:t>Applicants will be granted leave subject to 3 conditions, namely</w:t>
      </w:r>
      <w:r w:rsidR="001E0186">
        <w:rPr>
          <w:rFonts w:ascii="Arial" w:eastAsia="Times New Roman" w:hAnsi="Arial" w:cs="Arial"/>
          <w:color w:val="000000"/>
          <w:lang w:eastAsia="en-GB"/>
        </w:rPr>
        <w:t>:</w:t>
      </w:r>
    </w:p>
    <w:p w:rsidR="001E0186" w:rsidRDefault="001E0186" w:rsidP="00F71C50">
      <w:pPr>
        <w:spacing w:after="0" w:line="240" w:lineRule="auto"/>
        <w:ind w:left="0" w:firstLine="0"/>
        <w:rPr>
          <w:rFonts w:ascii="Arial" w:eastAsia="Times New Roman" w:hAnsi="Arial" w:cs="Arial"/>
          <w:color w:val="000000"/>
          <w:lang w:eastAsia="en-GB"/>
        </w:rPr>
      </w:pPr>
    </w:p>
    <w:p w:rsidR="001E0186" w:rsidRPr="001E0186" w:rsidRDefault="00F71C50" w:rsidP="001E0186">
      <w:pPr>
        <w:pStyle w:val="ListParagraph"/>
        <w:numPr>
          <w:ilvl w:val="0"/>
          <w:numId w:val="2"/>
        </w:numPr>
        <w:spacing w:after="0" w:line="240" w:lineRule="auto"/>
        <w:rPr>
          <w:rFonts w:ascii="Arial" w:eastAsia="Times New Roman" w:hAnsi="Arial" w:cs="Arial"/>
          <w:color w:val="000000"/>
          <w:lang w:eastAsia="en-GB"/>
        </w:rPr>
      </w:pPr>
      <w:r w:rsidRPr="001E0186">
        <w:rPr>
          <w:rFonts w:ascii="Arial" w:eastAsia="Times New Roman" w:hAnsi="Arial" w:cs="Arial"/>
          <w:color w:val="000000"/>
          <w:lang w:eastAsia="en-GB"/>
        </w:rPr>
        <w:t>they will h</w:t>
      </w:r>
      <w:r w:rsidR="001E0186" w:rsidRPr="001E0186">
        <w:rPr>
          <w:rFonts w:ascii="Arial" w:eastAsia="Times New Roman" w:hAnsi="Arial" w:cs="Arial"/>
          <w:color w:val="000000"/>
          <w:lang w:eastAsia="en-GB"/>
        </w:rPr>
        <w:t>ave no recourse to public funds</w:t>
      </w:r>
    </w:p>
    <w:p w:rsidR="001E0186" w:rsidRPr="001E0186" w:rsidRDefault="00F71C50" w:rsidP="001E0186">
      <w:pPr>
        <w:pStyle w:val="ListParagraph"/>
        <w:numPr>
          <w:ilvl w:val="0"/>
          <w:numId w:val="2"/>
        </w:numPr>
        <w:spacing w:after="0" w:line="240" w:lineRule="auto"/>
        <w:rPr>
          <w:rFonts w:ascii="Arial" w:eastAsia="Times New Roman" w:hAnsi="Arial" w:cs="Arial"/>
          <w:color w:val="000000"/>
          <w:lang w:eastAsia="en-GB"/>
        </w:rPr>
      </w:pPr>
      <w:r w:rsidRPr="001E0186">
        <w:rPr>
          <w:rFonts w:ascii="Arial" w:eastAsia="Times New Roman" w:hAnsi="Arial" w:cs="Arial"/>
          <w:color w:val="000000"/>
          <w:lang w:eastAsia="en-GB"/>
        </w:rPr>
        <w:t xml:space="preserve">they must register with the police if required by </w:t>
      </w:r>
      <w:hyperlink r:id="rId9" w:history="1">
        <w:r w:rsidRPr="001E0186">
          <w:rPr>
            <w:rStyle w:val="Hyperlink"/>
            <w:rFonts w:ascii="Arial" w:eastAsia="Times New Roman" w:hAnsi="Arial" w:cs="Arial"/>
            <w:lang w:eastAsia="en-GB"/>
          </w:rPr>
          <w:t>Part 10</w:t>
        </w:r>
      </w:hyperlink>
      <w:r w:rsidRPr="001E0186">
        <w:rPr>
          <w:rFonts w:ascii="Arial" w:eastAsia="Times New Roman" w:hAnsi="Arial" w:cs="Arial"/>
          <w:color w:val="000000"/>
          <w:lang w:eastAsia="en-GB"/>
        </w:rPr>
        <w:t xml:space="preserve"> of the Immigration Rules; and </w:t>
      </w:r>
    </w:p>
    <w:p w:rsidR="001E0186" w:rsidRPr="001E0186" w:rsidRDefault="00F71C50" w:rsidP="001E0186">
      <w:pPr>
        <w:pStyle w:val="ListParagraph"/>
        <w:numPr>
          <w:ilvl w:val="0"/>
          <w:numId w:val="2"/>
        </w:numPr>
        <w:spacing w:after="0" w:line="240" w:lineRule="auto"/>
        <w:rPr>
          <w:rFonts w:ascii="Arial" w:eastAsia="Times New Roman" w:hAnsi="Arial" w:cs="Arial"/>
          <w:color w:val="000000"/>
          <w:lang w:eastAsia="en-GB"/>
        </w:rPr>
      </w:pPr>
      <w:r w:rsidRPr="001E0186">
        <w:rPr>
          <w:rFonts w:ascii="Arial" w:eastAsia="Times New Roman" w:hAnsi="Arial" w:cs="Arial"/>
          <w:color w:val="000000"/>
          <w:lang w:eastAsia="en-GB"/>
        </w:rPr>
        <w:t xml:space="preserve">they may study, subject to the conditions in </w:t>
      </w:r>
      <w:hyperlink r:id="rId10" w:history="1">
        <w:r w:rsidRPr="001E0186">
          <w:rPr>
            <w:rStyle w:val="Hyperlink"/>
            <w:rFonts w:ascii="Arial" w:eastAsia="Times New Roman" w:hAnsi="Arial" w:cs="Arial"/>
            <w:lang w:eastAsia="en-GB"/>
          </w:rPr>
          <w:t>Part 15</w:t>
        </w:r>
      </w:hyperlink>
      <w:r w:rsidRPr="001E0186">
        <w:rPr>
          <w:rFonts w:ascii="Arial" w:eastAsia="Times New Roman" w:hAnsi="Arial" w:cs="Arial"/>
          <w:color w:val="000000"/>
          <w:lang w:eastAsia="en-GB"/>
        </w:rPr>
        <w:t xml:space="preserve"> of the Rules.</w:t>
      </w:r>
    </w:p>
    <w:p w:rsidR="00311C50" w:rsidRDefault="00311C50" w:rsidP="00793B8A">
      <w:pPr>
        <w:spacing w:after="0" w:line="240" w:lineRule="auto"/>
        <w:ind w:left="0" w:firstLine="0"/>
        <w:rPr>
          <w:rFonts w:ascii="Arial" w:eastAsia="Times New Roman" w:hAnsi="Arial" w:cs="Arial"/>
          <w:color w:val="000000"/>
          <w:lang w:eastAsia="en-GB"/>
        </w:rPr>
      </w:pPr>
    </w:p>
    <w:p w:rsidR="00311C50" w:rsidRDefault="00311C50" w:rsidP="00311C50">
      <w:pPr>
        <w:spacing w:after="0" w:line="240" w:lineRule="auto"/>
        <w:ind w:left="0" w:firstLine="0"/>
        <w:rPr>
          <w:rFonts w:ascii="Arial" w:eastAsia="Times New Roman" w:hAnsi="Arial" w:cs="Arial"/>
          <w:color w:val="000000"/>
          <w:lang w:eastAsia="en-GB"/>
        </w:rPr>
      </w:pPr>
      <w:r w:rsidRPr="00592658">
        <w:rPr>
          <w:rFonts w:ascii="Arial" w:eastAsia="Times New Roman" w:hAnsi="Arial" w:cs="Arial"/>
          <w:color w:val="000000"/>
          <w:lang w:eastAsia="en-GB"/>
        </w:rPr>
        <w:t>A prospective applicant will need at least £945 in maintenance funds, which increases</w:t>
      </w:r>
      <w:r>
        <w:rPr>
          <w:rFonts w:ascii="Arial" w:eastAsia="Times New Roman" w:hAnsi="Arial" w:cs="Arial"/>
          <w:color w:val="000000"/>
          <w:lang w:eastAsia="en-GB"/>
        </w:rPr>
        <w:t xml:space="preserve"> if they have dependent family arriving with them.</w:t>
      </w:r>
    </w:p>
    <w:p w:rsidR="00311C50" w:rsidRDefault="00311C50" w:rsidP="00311C50">
      <w:pPr>
        <w:spacing w:after="0" w:line="240" w:lineRule="auto"/>
        <w:ind w:left="0" w:firstLine="0"/>
        <w:rPr>
          <w:rFonts w:ascii="Arial" w:eastAsia="Times New Roman" w:hAnsi="Arial" w:cs="Arial"/>
          <w:color w:val="000000"/>
          <w:lang w:eastAsia="en-GB"/>
        </w:rPr>
      </w:pPr>
    </w:p>
    <w:p w:rsidR="00311C50" w:rsidRDefault="00311C50" w:rsidP="00311C50">
      <w:pPr>
        <w:spacing w:after="0" w:line="240" w:lineRule="auto"/>
        <w:ind w:left="0" w:firstLine="0"/>
        <w:rPr>
          <w:rFonts w:ascii="Arial" w:eastAsia="Times New Roman" w:hAnsi="Arial" w:cs="Arial"/>
          <w:color w:val="000000"/>
          <w:lang w:eastAsia="en-GB"/>
        </w:rPr>
      </w:pPr>
      <w:r w:rsidRPr="00592658">
        <w:rPr>
          <w:rFonts w:ascii="Arial" w:eastAsia="Times New Roman" w:hAnsi="Arial" w:cs="Arial"/>
          <w:color w:val="000000"/>
          <w:lang w:eastAsia="en-GB"/>
        </w:rPr>
        <w:t xml:space="preserve">English language requirements have been </w:t>
      </w:r>
      <w:r>
        <w:rPr>
          <w:rFonts w:ascii="Arial" w:eastAsia="Times New Roman" w:hAnsi="Arial" w:cs="Arial"/>
          <w:color w:val="000000"/>
          <w:lang w:eastAsia="en-GB"/>
        </w:rPr>
        <w:t>increased</w:t>
      </w:r>
      <w:r w:rsidRPr="00592658">
        <w:rPr>
          <w:rFonts w:ascii="Arial" w:eastAsia="Times New Roman" w:hAnsi="Arial" w:cs="Arial"/>
          <w:color w:val="000000"/>
          <w:lang w:eastAsia="en-GB"/>
        </w:rPr>
        <w:t xml:space="preserve"> to </w:t>
      </w:r>
      <w:hyperlink r:id="rId11" w:history="1">
        <w:r w:rsidRPr="001039C5">
          <w:rPr>
            <w:rStyle w:val="Hyperlink"/>
            <w:rFonts w:ascii="Arial" w:eastAsia="Times New Roman" w:hAnsi="Arial" w:cs="Arial"/>
            <w:lang w:eastAsia="en-GB"/>
          </w:rPr>
          <w:t>B2 level, up from B1</w:t>
        </w:r>
      </w:hyperlink>
      <w:r w:rsidRPr="00592658">
        <w:rPr>
          <w:rFonts w:ascii="Arial" w:eastAsia="Times New Roman" w:hAnsi="Arial" w:cs="Arial"/>
          <w:color w:val="000000"/>
          <w:lang w:eastAsia="en-GB"/>
        </w:rPr>
        <w:t>.</w:t>
      </w:r>
    </w:p>
    <w:p w:rsidR="00FF46C7" w:rsidRDefault="00FF46C7" w:rsidP="00311C50">
      <w:pPr>
        <w:spacing w:after="0" w:line="240" w:lineRule="auto"/>
        <w:ind w:left="0" w:firstLine="0"/>
        <w:rPr>
          <w:rFonts w:ascii="Arial" w:eastAsia="Times New Roman" w:hAnsi="Arial" w:cs="Arial"/>
          <w:color w:val="000000"/>
          <w:lang w:eastAsia="en-GB"/>
        </w:rPr>
      </w:pPr>
    </w:p>
    <w:p w:rsidR="00FF46C7" w:rsidRDefault="00FF46C7" w:rsidP="00311C50">
      <w:pPr>
        <w:spacing w:after="0" w:line="240" w:lineRule="auto"/>
        <w:ind w:left="0" w:firstLine="0"/>
        <w:rPr>
          <w:rFonts w:ascii="Arial" w:eastAsia="Times New Roman" w:hAnsi="Arial" w:cs="Arial"/>
          <w:b/>
          <w:color w:val="000000"/>
          <w:lang w:eastAsia="en-GB"/>
        </w:rPr>
      </w:pPr>
      <w:r>
        <w:rPr>
          <w:rFonts w:ascii="Arial" w:eastAsia="Times New Roman" w:hAnsi="Arial" w:cs="Arial"/>
          <w:b/>
          <w:color w:val="000000"/>
          <w:lang w:eastAsia="en-GB"/>
        </w:rPr>
        <w:t>What powers decision-makers have in making their decisions</w:t>
      </w:r>
    </w:p>
    <w:p w:rsidR="00FF46C7" w:rsidRDefault="00FF46C7" w:rsidP="00311C50">
      <w:pPr>
        <w:spacing w:after="0" w:line="240" w:lineRule="auto"/>
        <w:ind w:left="0" w:firstLine="0"/>
        <w:rPr>
          <w:rFonts w:ascii="Arial" w:eastAsia="Times New Roman" w:hAnsi="Arial" w:cs="Arial"/>
          <w:b/>
          <w:color w:val="000000"/>
          <w:lang w:eastAsia="en-GB"/>
        </w:rPr>
      </w:pPr>
    </w:p>
    <w:p w:rsidR="00FF46C7" w:rsidRPr="00FF46C7" w:rsidRDefault="00FF46C7" w:rsidP="00311C50">
      <w:pPr>
        <w:spacing w:after="0" w:line="240" w:lineRule="auto"/>
        <w:ind w:left="0" w:firstLine="0"/>
        <w:rPr>
          <w:rFonts w:ascii="Arial" w:eastAsia="Times New Roman" w:hAnsi="Arial" w:cs="Arial"/>
          <w:color w:val="000000"/>
          <w:lang w:eastAsia="en-GB"/>
        </w:rPr>
      </w:pPr>
      <w:r>
        <w:rPr>
          <w:rFonts w:ascii="Arial" w:eastAsia="Times New Roman" w:hAnsi="Arial" w:cs="Arial"/>
          <w:color w:val="000000"/>
          <w:lang w:eastAsia="en-GB"/>
        </w:rPr>
        <w:t>The decision-maker may request additional information and evidence from the applicant or their endorsing body, or ask the applicant to attend an interview. In each of these cases, the request must</w:t>
      </w:r>
      <w:r w:rsidR="00096C68">
        <w:rPr>
          <w:rFonts w:ascii="Arial" w:eastAsia="Times New Roman" w:hAnsi="Arial" w:cs="Arial"/>
          <w:color w:val="000000"/>
          <w:lang w:eastAsia="en-GB"/>
        </w:rPr>
        <w:t xml:space="preserve"> be complied with by the applic</w:t>
      </w:r>
      <w:r>
        <w:rPr>
          <w:rFonts w:ascii="Arial" w:eastAsia="Times New Roman" w:hAnsi="Arial" w:cs="Arial"/>
          <w:color w:val="000000"/>
          <w:lang w:eastAsia="en-GB"/>
        </w:rPr>
        <w:t>ant.</w:t>
      </w:r>
    </w:p>
    <w:p w:rsidR="00311C50" w:rsidRDefault="00311C50" w:rsidP="00793B8A">
      <w:pPr>
        <w:spacing w:after="0" w:line="240" w:lineRule="auto"/>
        <w:ind w:left="0" w:firstLine="0"/>
        <w:rPr>
          <w:rFonts w:ascii="Arial" w:eastAsia="Times New Roman" w:hAnsi="Arial" w:cs="Arial"/>
          <w:color w:val="000000"/>
          <w:lang w:eastAsia="en-GB"/>
        </w:rPr>
      </w:pPr>
    </w:p>
    <w:p w:rsidR="00311C50" w:rsidRPr="00311C50" w:rsidRDefault="00311C50" w:rsidP="00793B8A">
      <w:pPr>
        <w:spacing w:after="0" w:line="240" w:lineRule="auto"/>
        <w:ind w:left="0" w:firstLine="0"/>
        <w:rPr>
          <w:rFonts w:ascii="Arial" w:eastAsia="Times New Roman" w:hAnsi="Arial" w:cs="Arial"/>
          <w:b/>
          <w:color w:val="000000"/>
          <w:lang w:eastAsia="en-GB"/>
        </w:rPr>
      </w:pPr>
      <w:r>
        <w:rPr>
          <w:rFonts w:ascii="Arial" w:eastAsia="Times New Roman" w:hAnsi="Arial" w:cs="Arial"/>
          <w:b/>
          <w:color w:val="000000"/>
          <w:lang w:eastAsia="en-GB"/>
        </w:rPr>
        <w:t>Curtailment of leave</w:t>
      </w:r>
    </w:p>
    <w:p w:rsidR="00311C50" w:rsidRDefault="00311C50" w:rsidP="00793B8A">
      <w:pPr>
        <w:spacing w:after="0" w:line="240" w:lineRule="auto"/>
        <w:ind w:left="0" w:firstLine="0"/>
        <w:rPr>
          <w:rFonts w:ascii="Arial" w:eastAsia="Times New Roman" w:hAnsi="Arial" w:cs="Arial"/>
          <w:color w:val="000000"/>
          <w:lang w:eastAsia="en-GB"/>
        </w:rPr>
      </w:pPr>
    </w:p>
    <w:p w:rsidR="00793B8A" w:rsidRPr="00A7739A" w:rsidRDefault="00793B8A" w:rsidP="00793B8A">
      <w:pPr>
        <w:spacing w:after="0" w:line="240" w:lineRule="auto"/>
        <w:ind w:left="0" w:firstLine="0"/>
        <w:rPr>
          <w:rFonts w:ascii="Arial" w:eastAsia="Times New Roman" w:hAnsi="Arial" w:cs="Arial"/>
          <w:color w:val="000000"/>
          <w:lang w:eastAsia="en-GB"/>
        </w:rPr>
      </w:pPr>
      <w:r>
        <w:rPr>
          <w:rFonts w:ascii="Arial" w:eastAsia="Times New Roman" w:hAnsi="Arial" w:cs="Arial"/>
          <w:color w:val="000000"/>
          <w:lang w:eastAsia="en-GB"/>
        </w:rPr>
        <w:t xml:space="preserve">Entry clearance or leave to remain may be curtailed for the usual reasons in </w:t>
      </w:r>
      <w:hyperlink r:id="rId12" w:history="1">
        <w:r w:rsidRPr="00F66DE5">
          <w:rPr>
            <w:rStyle w:val="Hyperlink"/>
            <w:rFonts w:ascii="Arial" w:eastAsia="Times New Roman" w:hAnsi="Arial" w:cs="Arial"/>
            <w:lang w:eastAsia="en-GB"/>
          </w:rPr>
          <w:t>Part 9 of the Immigration</w:t>
        </w:r>
      </w:hyperlink>
      <w:r>
        <w:rPr>
          <w:rStyle w:val="Hyperlink"/>
          <w:rFonts w:ascii="Arial" w:eastAsia="Times New Roman" w:hAnsi="Arial" w:cs="Arial"/>
          <w:lang w:eastAsia="en-GB"/>
        </w:rPr>
        <w:t xml:space="preserve"> Rules</w:t>
      </w:r>
      <w:r>
        <w:rPr>
          <w:rFonts w:ascii="Arial" w:eastAsia="Times New Roman" w:hAnsi="Arial" w:cs="Arial"/>
          <w:color w:val="000000"/>
          <w:lang w:eastAsia="en-GB"/>
        </w:rPr>
        <w:t>. In addition, if an endorsing body loses its status or it withdraws its endorsement of the applicant, leave may be curtailed. However, in most circumstances the expectation will be that if an endorsing body will no longer endorse new applicants, those already endorsed by the body will continue to be endorsed until their leave runs out.</w:t>
      </w:r>
    </w:p>
    <w:p w:rsidR="00F71C50" w:rsidRPr="00592658" w:rsidRDefault="00F71C50" w:rsidP="00F71C50">
      <w:pPr>
        <w:spacing w:after="0" w:line="240" w:lineRule="auto"/>
        <w:ind w:left="0" w:firstLine="0"/>
        <w:rPr>
          <w:rFonts w:ascii="Times New Roman" w:eastAsia="Times New Roman" w:hAnsi="Times New Roman" w:cs="Times New Roman"/>
          <w:sz w:val="24"/>
          <w:szCs w:val="24"/>
          <w:lang w:eastAsia="en-GB"/>
        </w:rPr>
      </w:pPr>
      <w:r w:rsidRPr="00592658">
        <w:rPr>
          <w:rFonts w:ascii="Arial" w:eastAsia="Times New Roman" w:hAnsi="Arial" w:cs="Arial"/>
          <w:color w:val="000000"/>
          <w:lang w:eastAsia="en-GB"/>
        </w:rPr>
        <w:t xml:space="preserve"> </w:t>
      </w:r>
    </w:p>
    <w:p w:rsidR="00C149FB" w:rsidRPr="00C149FB" w:rsidRDefault="00C149FB" w:rsidP="00C149FB">
      <w:pPr>
        <w:spacing w:after="0" w:line="240" w:lineRule="auto"/>
        <w:ind w:left="0" w:firstLine="0"/>
        <w:rPr>
          <w:rFonts w:ascii="Arial" w:eastAsia="Times New Roman" w:hAnsi="Arial" w:cs="Arial"/>
          <w:b/>
          <w:color w:val="000000"/>
          <w:lang w:eastAsia="en-GB"/>
        </w:rPr>
      </w:pPr>
      <w:r>
        <w:rPr>
          <w:rFonts w:ascii="Arial" w:eastAsia="Times New Roman" w:hAnsi="Arial" w:cs="Arial"/>
          <w:b/>
          <w:color w:val="000000"/>
          <w:lang w:eastAsia="en-GB"/>
        </w:rPr>
        <w:t>Switching into the Start-up and Innovator visas</w:t>
      </w:r>
    </w:p>
    <w:p w:rsidR="00C149FB" w:rsidRDefault="00C149FB" w:rsidP="00C149FB">
      <w:pPr>
        <w:spacing w:after="0" w:line="240" w:lineRule="auto"/>
        <w:ind w:left="0" w:firstLine="0"/>
        <w:rPr>
          <w:rFonts w:ascii="Arial" w:eastAsia="Times New Roman" w:hAnsi="Arial" w:cs="Arial"/>
          <w:color w:val="000000"/>
          <w:lang w:eastAsia="en-GB"/>
        </w:rPr>
      </w:pPr>
      <w:r>
        <w:rPr>
          <w:rFonts w:ascii="Arial" w:eastAsia="Times New Roman" w:hAnsi="Arial" w:cs="Arial"/>
          <w:color w:val="000000"/>
          <w:lang w:eastAsia="en-GB"/>
        </w:rPr>
        <w:t xml:space="preserve"> </w:t>
      </w:r>
    </w:p>
    <w:p w:rsidR="00F71C50" w:rsidRPr="00C149FB" w:rsidRDefault="00F71C50" w:rsidP="00C149FB">
      <w:pPr>
        <w:spacing w:after="0" w:line="240" w:lineRule="auto"/>
        <w:ind w:left="0" w:firstLine="0"/>
        <w:rPr>
          <w:rFonts w:ascii="Arial" w:eastAsia="Times New Roman" w:hAnsi="Arial" w:cs="Arial"/>
          <w:color w:val="000000"/>
          <w:lang w:eastAsia="en-GB"/>
        </w:rPr>
      </w:pPr>
      <w:r w:rsidRPr="00592658">
        <w:rPr>
          <w:rFonts w:ascii="Arial" w:eastAsia="Times New Roman" w:hAnsi="Arial" w:cs="Arial"/>
          <w:color w:val="000000"/>
          <w:lang w:eastAsia="en-GB"/>
        </w:rPr>
        <w:t>People in either (a) Tier 1 (Graduate Entrepreneur), (b) Tier 2, (c) Tier 4 (General) – with restrictions</w:t>
      </w:r>
      <w:r w:rsidR="00C149FB">
        <w:rPr>
          <w:rFonts w:ascii="Arial" w:eastAsia="Times New Roman" w:hAnsi="Arial" w:cs="Arial"/>
          <w:color w:val="000000"/>
          <w:lang w:eastAsia="en-GB"/>
        </w:rPr>
        <w:t xml:space="preserve"> outlined in </w:t>
      </w:r>
      <w:hyperlink r:id="rId13" w:anchor="residentworker" w:history="1">
        <w:r w:rsidR="00C149FB" w:rsidRPr="00C149FB">
          <w:rPr>
            <w:rStyle w:val="Hyperlink"/>
            <w:rFonts w:ascii="Arial" w:eastAsia="Times New Roman" w:hAnsi="Arial" w:cs="Arial"/>
            <w:lang w:eastAsia="en-GB"/>
          </w:rPr>
          <w:t>Rule W3.4</w:t>
        </w:r>
      </w:hyperlink>
      <w:r w:rsidRPr="00592658">
        <w:rPr>
          <w:rFonts w:ascii="Arial" w:eastAsia="Times New Roman" w:hAnsi="Arial" w:cs="Arial"/>
          <w:color w:val="000000"/>
          <w:lang w:eastAsia="en-GB"/>
        </w:rPr>
        <w:t>; and (d) a visitor undertaking permitted activities pursuant to Appe</w:t>
      </w:r>
      <w:r w:rsidR="00C149FB">
        <w:rPr>
          <w:rFonts w:ascii="Arial" w:eastAsia="Times New Roman" w:hAnsi="Arial" w:cs="Arial"/>
          <w:color w:val="000000"/>
          <w:lang w:eastAsia="en-GB"/>
        </w:rPr>
        <w:t xml:space="preserve">ndix V of the rule may switch </w:t>
      </w:r>
      <w:r w:rsidRPr="00592658">
        <w:rPr>
          <w:rFonts w:ascii="Arial" w:eastAsia="Times New Roman" w:hAnsi="Arial" w:cs="Arial"/>
          <w:color w:val="000000"/>
          <w:lang w:eastAsia="en-GB"/>
        </w:rPr>
        <w:t>to the Start-up category. This list is reproduced for those eligible to switch to the innovator category, wi</w:t>
      </w:r>
      <w:r w:rsidR="00C149FB">
        <w:rPr>
          <w:rFonts w:ascii="Arial" w:eastAsia="Times New Roman" w:hAnsi="Arial" w:cs="Arial"/>
          <w:color w:val="000000"/>
          <w:lang w:eastAsia="en-GB"/>
        </w:rPr>
        <w:t>th the addition of those in the S</w:t>
      </w:r>
      <w:r w:rsidRPr="00592658">
        <w:rPr>
          <w:rFonts w:ascii="Arial" w:eastAsia="Times New Roman" w:hAnsi="Arial" w:cs="Arial"/>
          <w:color w:val="000000"/>
          <w:lang w:eastAsia="en-GB"/>
        </w:rPr>
        <w:t>tart-up category.</w:t>
      </w:r>
    </w:p>
    <w:p w:rsidR="00F71C50" w:rsidRPr="00592658" w:rsidRDefault="00F71C50" w:rsidP="00F71C50">
      <w:pPr>
        <w:spacing w:after="0" w:line="240" w:lineRule="auto"/>
        <w:ind w:left="0" w:firstLine="0"/>
        <w:rPr>
          <w:rFonts w:ascii="Times New Roman" w:eastAsia="Times New Roman" w:hAnsi="Times New Roman" w:cs="Times New Roman"/>
          <w:sz w:val="24"/>
          <w:szCs w:val="24"/>
          <w:lang w:eastAsia="en-GB"/>
        </w:rPr>
      </w:pPr>
      <w:r w:rsidRPr="00592658">
        <w:rPr>
          <w:rFonts w:ascii="Arial" w:eastAsia="Times New Roman" w:hAnsi="Arial" w:cs="Arial"/>
          <w:color w:val="000000"/>
          <w:lang w:eastAsia="en-GB"/>
        </w:rPr>
        <w:t xml:space="preserve"> </w:t>
      </w:r>
    </w:p>
    <w:p w:rsidR="009A53C0" w:rsidRDefault="009A53C0"/>
    <w:sectPr w:rsidR="009A53C0" w:rsidSect="0037584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50" w:rsidRDefault="00F71C50" w:rsidP="00F71C50">
      <w:pPr>
        <w:spacing w:after="0" w:line="240" w:lineRule="auto"/>
      </w:pPr>
      <w:r>
        <w:separator/>
      </w:r>
    </w:p>
  </w:endnote>
  <w:endnote w:type="continuationSeparator" w:id="0">
    <w:p w:rsidR="00F71C50" w:rsidRDefault="00F71C50" w:rsidP="00F7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57" w:rsidRDefault="007E71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57" w:rsidRDefault="007E71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57" w:rsidRDefault="007E71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50" w:rsidRDefault="00F71C50" w:rsidP="00F71C50">
      <w:pPr>
        <w:spacing w:after="0" w:line="240" w:lineRule="auto"/>
      </w:pPr>
      <w:r>
        <w:separator/>
      </w:r>
    </w:p>
  </w:footnote>
  <w:footnote w:type="continuationSeparator" w:id="0">
    <w:p w:rsidR="00F71C50" w:rsidRDefault="00F71C50" w:rsidP="00F71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57" w:rsidRDefault="007E71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C50" w:rsidRDefault="00F71C50" w:rsidP="00F71C50">
    <w:pPr>
      <w:pStyle w:val="Header"/>
    </w:pPr>
  </w:p>
  <w:p w:rsidR="00F71C50" w:rsidRDefault="00F71C50" w:rsidP="00F71C50">
    <w:pPr>
      <w:pStyle w:val="Header"/>
    </w:pPr>
  </w:p>
  <w:p w:rsidR="00F71C50" w:rsidRDefault="00F71C50" w:rsidP="00F71C50">
    <w:pPr>
      <w:pStyle w:val="Header"/>
    </w:pPr>
  </w:p>
  <w:p w:rsidR="00F71C50" w:rsidRDefault="00F71C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47" w:rsidRDefault="00375847" w:rsidP="00375847">
    <w:pPr>
      <w:pStyle w:val="Heading1"/>
      <w:rPr>
        <w:b/>
        <w:bCs/>
        <w:sz w:val="32"/>
      </w:rPr>
    </w:pPr>
    <w:r>
      <w:rPr>
        <w:noProof/>
        <w:lang w:eastAsia="en-GB"/>
      </w:rPr>
      <w:drawing>
        <wp:anchor distT="0" distB="0" distL="114300" distR="114300" simplePos="0" relativeHeight="251661312" behindDoc="0" locked="0" layoutInCell="1" allowOverlap="1" wp14:anchorId="1BB66FD9" wp14:editId="40EDA83B">
          <wp:simplePos x="0" y="0"/>
          <wp:positionH relativeFrom="column">
            <wp:posOffset>-11430</wp:posOffset>
          </wp:positionH>
          <wp:positionV relativeFrom="paragraph">
            <wp:posOffset>53975</wp:posOffset>
          </wp:positionV>
          <wp:extent cx="998855" cy="465455"/>
          <wp:effectExtent l="19050" t="0" r="0" b="0"/>
          <wp:wrapThrough wrapText="bothSides">
            <wp:wrapPolygon edited="0">
              <wp:start x="-412" y="0"/>
              <wp:lineTo x="-412" y="20333"/>
              <wp:lineTo x="21421" y="20333"/>
              <wp:lineTo x="21421" y="0"/>
              <wp:lineTo x="-41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98855" cy="465455"/>
                  </a:xfrm>
                  <a:prstGeom prst="rect">
                    <a:avLst/>
                  </a:prstGeom>
                  <a:noFill/>
                  <a:ln w="9525">
                    <a:noFill/>
                    <a:miter lim="800000"/>
                    <a:headEnd/>
                    <a:tailEnd/>
                  </a:ln>
                </pic:spPr>
              </pic:pic>
            </a:graphicData>
          </a:graphic>
        </wp:anchor>
      </w:drawing>
    </w:r>
    <w:r>
      <w:t xml:space="preserve"> </w:t>
    </w:r>
    <w:r>
      <w:rPr>
        <w:sz w:val="60"/>
      </w:rPr>
      <w:t xml:space="preserve"> </w:t>
    </w:r>
    <w:r>
      <w:rPr>
        <w:sz w:val="72"/>
      </w:rPr>
      <w:t>information sheet</w:t>
    </w:r>
  </w:p>
  <w:p w:rsidR="00375847" w:rsidRDefault="00375847" w:rsidP="00375847">
    <w:pPr>
      <w:pBdr>
        <w:bottom w:val="single" w:sz="4" w:space="1" w:color="auto"/>
      </w:pBdr>
    </w:pPr>
  </w:p>
  <w:p w:rsidR="00375847" w:rsidRPr="00625A87" w:rsidRDefault="00375847" w:rsidP="00375847">
    <w:pPr>
      <w:rPr>
        <w:rStyle w:val="HTMLTypewriter"/>
        <w:rFonts w:ascii="Arial" w:hAnsi="Arial" w:cs="Arial"/>
        <w:sz w:val="18"/>
      </w:rPr>
    </w:pPr>
    <w:r w:rsidRPr="00625A87">
      <w:rPr>
        <w:rStyle w:val="HTMLTypewriter"/>
        <w:rFonts w:ascii="Arial" w:hAnsi="Arial" w:cs="Arial"/>
        <w:sz w:val="18"/>
      </w:rPr>
      <w:t>Information sheets provide general information only, accurate as at the date of the information sheet.  Law, policy and practice may change over time.</w:t>
    </w:r>
  </w:p>
  <w:p w:rsidR="00375847" w:rsidRPr="00625A87" w:rsidRDefault="00375847" w:rsidP="00375847">
    <w:pPr>
      <w:rPr>
        <w:rStyle w:val="HTMLTypewriter"/>
        <w:rFonts w:ascii="Arial" w:hAnsi="Arial" w:cs="Arial"/>
        <w:sz w:val="18"/>
      </w:rPr>
    </w:pPr>
    <w:r w:rsidRPr="00625A87">
      <w:rPr>
        <w:rStyle w:val="HTMLTypewriter"/>
        <w:rFonts w:ascii="Arial" w:hAnsi="Arial" w:cs="Arial"/>
        <w:sz w:val="18"/>
      </w:rPr>
      <w:t xml:space="preserve">ILPA members listed in the directory at </w:t>
    </w:r>
    <w:hyperlink r:id="rId2" w:history="1">
      <w:r w:rsidRPr="00625A87">
        <w:rPr>
          <w:rStyle w:val="Hyperlink"/>
          <w:rFonts w:eastAsia="Courier New" w:cs="Arial"/>
          <w:sz w:val="18"/>
          <w:szCs w:val="20"/>
        </w:rPr>
        <w:t>www.ilpa.org.uk</w:t>
      </w:r>
    </w:hyperlink>
    <w:r w:rsidRPr="00625A87">
      <w:rPr>
        <w:rStyle w:val="HTMLTypewriter"/>
        <w:rFonts w:ascii="Arial" w:hAnsi="Arial" w:cs="Arial"/>
        <w:sz w:val="18"/>
      </w:rPr>
      <w:t xml:space="preserve"> provide legal advice on individual cases.  ILPA does not do so.</w:t>
    </w:r>
  </w:p>
  <w:p w:rsidR="00375847" w:rsidRPr="00625A87" w:rsidRDefault="00375847" w:rsidP="00375847">
    <w:pPr>
      <w:rPr>
        <w:rStyle w:val="HTMLTypewriter"/>
        <w:rFonts w:ascii="Arial" w:hAnsi="Arial" w:cs="Arial"/>
        <w:sz w:val="18"/>
      </w:rPr>
    </w:pPr>
    <w:r w:rsidRPr="00625A87">
      <w:rPr>
        <w:rStyle w:val="HTMLTypewriter"/>
        <w:rFonts w:ascii="Arial" w:hAnsi="Arial" w:cs="Arial"/>
        <w:sz w:val="18"/>
      </w:rPr>
      <w:t>The ILPA information service is funded by the Joseph Rowntree Charitable Trust.</w:t>
    </w:r>
  </w:p>
  <w:p w:rsidR="00375847" w:rsidRPr="00625A87" w:rsidRDefault="00375847" w:rsidP="00375847">
    <w:pPr>
      <w:rPr>
        <w:rStyle w:val="HTMLTypewriter"/>
        <w:rFonts w:ascii="Arial" w:hAnsi="Arial" w:cs="Arial"/>
        <w:sz w:val="18"/>
      </w:rPr>
    </w:pPr>
    <w:r w:rsidRPr="00625A87">
      <w:rPr>
        <w:rStyle w:val="HTMLTypewriter"/>
        <w:rFonts w:ascii="Arial" w:hAnsi="Arial" w:cs="Arial"/>
        <w:sz w:val="18"/>
      </w:rPr>
      <w:t xml:space="preserve">An archive of information sheets is available at </w:t>
    </w:r>
    <w:hyperlink r:id="rId3" w:history="1">
      <w:r w:rsidRPr="00625A87">
        <w:rPr>
          <w:rStyle w:val="Hyperlink"/>
          <w:rFonts w:eastAsia="Courier New" w:cs="Arial"/>
          <w:sz w:val="18"/>
          <w:szCs w:val="20"/>
        </w:rPr>
        <w:t>www.ilpa.org.uk/infoservice.html</w:t>
      </w:r>
    </w:hyperlink>
    <w:r w:rsidRPr="00625A87">
      <w:rPr>
        <w:rStyle w:val="HTMLTypewriter"/>
        <w:rFonts w:ascii="Arial" w:hAnsi="Arial" w:cs="Arial"/>
        <w:sz w:val="18"/>
      </w:rPr>
      <w:t xml:space="preserve"> </w:t>
    </w:r>
  </w:p>
  <w:p w:rsidR="00375847" w:rsidRPr="00625A87" w:rsidRDefault="00375847" w:rsidP="00375847">
    <w:pPr>
      <w:rPr>
        <w:rStyle w:val="HTMLTypewriter"/>
        <w:rFonts w:ascii="Arial" w:hAnsi="Arial" w:cs="Arial"/>
        <w:sz w:val="18"/>
      </w:rPr>
    </w:pPr>
    <w:r>
      <w:rPr>
        <w:rStyle w:val="HTMLTypewriter"/>
        <w:rFonts w:ascii="Arial" w:hAnsi="Arial" w:cs="Arial"/>
        <w:b/>
        <w:sz w:val="18"/>
      </w:rPr>
      <w:t>Paul Erdunast,</w:t>
    </w:r>
    <w:r w:rsidRPr="00625A87">
      <w:rPr>
        <w:rStyle w:val="HTMLTypewriter"/>
        <w:rFonts w:ascii="Arial" w:hAnsi="Arial" w:cs="Arial"/>
        <w:b/>
        <w:sz w:val="18"/>
      </w:rPr>
      <w:t xml:space="preserve"> ILPA Legal</w:t>
    </w:r>
    <w:r>
      <w:rPr>
        <w:rStyle w:val="HTMLTypewriter"/>
        <w:rFonts w:ascii="Arial" w:hAnsi="Arial" w:cs="Arial"/>
        <w:b/>
        <w:sz w:val="18"/>
      </w:rPr>
      <w:t xml:space="preserve"> and Parliamentary</w:t>
    </w:r>
    <w:r w:rsidRPr="00625A87">
      <w:rPr>
        <w:rStyle w:val="HTMLTypewriter"/>
        <w:rFonts w:ascii="Arial" w:hAnsi="Arial" w:cs="Arial"/>
        <w:b/>
        <w:sz w:val="18"/>
      </w:rPr>
      <w:t xml:space="preserve"> Officer</w:t>
    </w:r>
    <w:r w:rsidRPr="00625A87">
      <w:rPr>
        <w:rStyle w:val="HTMLTypewriter"/>
        <w:rFonts w:ascii="Arial" w:hAnsi="Arial" w:cs="Arial"/>
        <w:sz w:val="18"/>
      </w:rPr>
      <w:t xml:space="preserve">   </w:t>
    </w:r>
    <w:hyperlink r:id="rId4" w:history="1">
      <w:r w:rsidRPr="001F1DE6">
        <w:rPr>
          <w:rStyle w:val="Hyperlink"/>
          <w:rFonts w:eastAsia="Courier New" w:cs="Arial"/>
          <w:sz w:val="18"/>
          <w:szCs w:val="20"/>
        </w:rPr>
        <w:t>paul.erdunast@ilpa.org.uk</w:t>
      </w:r>
    </w:hyperlink>
    <w:r w:rsidRPr="00625A87">
      <w:rPr>
        <w:rStyle w:val="HTMLTypewriter"/>
        <w:rFonts w:ascii="Arial" w:hAnsi="Arial" w:cs="Arial"/>
        <w:sz w:val="18"/>
      </w:rPr>
      <w:t xml:space="preserve"> </w:t>
    </w:r>
  </w:p>
  <w:p w:rsidR="00375847" w:rsidRDefault="00375847" w:rsidP="00375847">
    <w:pPr>
      <w:ind w:left="357" w:firstLine="0"/>
      <w:rPr>
        <w:rStyle w:val="HTMLTypewriter"/>
        <w:rFonts w:cs="Arial"/>
        <w:sz w:val="16"/>
      </w:rPr>
    </w:pPr>
    <w:r w:rsidRPr="00625A87">
      <w:rPr>
        <w:rStyle w:val="HTMLTypewriter"/>
        <w:rFonts w:ascii="Arial" w:hAnsi="Arial" w:cs="Arial"/>
        <w:b/>
        <w:sz w:val="18"/>
      </w:rPr>
      <w:t>Immigration Law Practitioners’ Association</w:t>
    </w:r>
    <w:r w:rsidRPr="00625A87">
      <w:rPr>
        <w:rStyle w:val="HTMLTypewriter"/>
        <w:rFonts w:ascii="Arial" w:hAnsi="Arial" w:cs="Arial"/>
        <w:sz w:val="18"/>
      </w:rPr>
      <w:t xml:space="preserve">   </w:t>
    </w:r>
    <w:hyperlink r:id="rId5" w:history="1">
      <w:r w:rsidRPr="00625A87">
        <w:rPr>
          <w:rStyle w:val="Hyperlink"/>
          <w:rFonts w:eastAsia="Courier New" w:cs="Arial"/>
          <w:sz w:val="18"/>
          <w:szCs w:val="20"/>
        </w:rPr>
        <w:t>www.ilpa.org.uk</w:t>
      </w:r>
    </w:hyperlink>
    <w:r w:rsidRPr="00625A87">
      <w:rPr>
        <w:rStyle w:val="HTMLTypewriter"/>
        <w:rFonts w:ascii="Arial" w:hAnsi="Arial" w:cs="Arial"/>
        <w:sz w:val="18"/>
      </w:rPr>
      <w:t xml:space="preserve">   020-7251 8383 (t)    020-7251 8384 (f)</w:t>
    </w:r>
    <w:r>
      <w:rPr>
        <w:rStyle w:val="HTMLTypewriter"/>
        <w:rFonts w:cs="Arial"/>
        <w:sz w:val="18"/>
        <w:szCs w:val="18"/>
      </w:rPr>
      <w:t xml:space="preserve"> </w:t>
    </w:r>
    <w:r>
      <w:rPr>
        <w:rStyle w:val="HTMLTypewriter"/>
        <w:rFonts w:cs="Arial"/>
        <w:sz w:val="16"/>
      </w:rPr>
      <w:t>__________________________________________________________________________________________</w:t>
    </w:r>
  </w:p>
  <w:p w:rsidR="00375847" w:rsidRDefault="007E7157" w:rsidP="00375847">
    <w:pPr>
      <w:pStyle w:val="NoSpacing"/>
      <w:jc w:val="right"/>
      <w:rPr>
        <w:i/>
        <w:sz w:val="18"/>
        <w:szCs w:val="18"/>
      </w:rPr>
    </w:pPr>
    <w:r>
      <w:rPr>
        <w:i/>
        <w:sz w:val="18"/>
        <w:szCs w:val="18"/>
      </w:rPr>
      <w:t xml:space="preserve">16 </w:t>
    </w:r>
    <w:bookmarkStart w:id="0" w:name="_GoBack"/>
    <w:bookmarkEnd w:id="0"/>
    <w:r w:rsidR="00375847">
      <w:rPr>
        <w:i/>
        <w:sz w:val="18"/>
        <w:szCs w:val="18"/>
      </w:rPr>
      <w:t>April 2019</w:t>
    </w:r>
  </w:p>
  <w:p w:rsidR="00375847" w:rsidRDefault="00375847" w:rsidP="003758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702F"/>
    <w:multiLevelType w:val="hybridMultilevel"/>
    <w:tmpl w:val="25742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8F18B1"/>
    <w:multiLevelType w:val="hybridMultilevel"/>
    <w:tmpl w:val="36C6CDD0"/>
    <w:lvl w:ilvl="0" w:tplc="4DE827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D8"/>
    <w:rsid w:val="00096C68"/>
    <w:rsid w:val="001039C5"/>
    <w:rsid w:val="001268C1"/>
    <w:rsid w:val="001E0186"/>
    <w:rsid w:val="002070BB"/>
    <w:rsid w:val="002509C1"/>
    <w:rsid w:val="002C5A93"/>
    <w:rsid w:val="00311C50"/>
    <w:rsid w:val="003204CF"/>
    <w:rsid w:val="0035460B"/>
    <w:rsid w:val="00375847"/>
    <w:rsid w:val="003F32B6"/>
    <w:rsid w:val="006C3CD5"/>
    <w:rsid w:val="00737F52"/>
    <w:rsid w:val="00793B8A"/>
    <w:rsid w:val="007E7157"/>
    <w:rsid w:val="009A53C0"/>
    <w:rsid w:val="009D3C7C"/>
    <w:rsid w:val="00A62ECD"/>
    <w:rsid w:val="00A95CD8"/>
    <w:rsid w:val="00B31A22"/>
    <w:rsid w:val="00BD3E5C"/>
    <w:rsid w:val="00C149FB"/>
    <w:rsid w:val="00C15980"/>
    <w:rsid w:val="00CE7CA7"/>
    <w:rsid w:val="00CF429D"/>
    <w:rsid w:val="00D42D37"/>
    <w:rsid w:val="00EE0286"/>
    <w:rsid w:val="00F71C50"/>
    <w:rsid w:val="00FF4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7A4551D"/>
  <w15:chartTrackingRefBased/>
  <w15:docId w15:val="{CFBCDB57-1905-4C0F-AA3F-100B6B86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qFormat/>
    <w:rsid w:val="00F71C50"/>
    <w:pPr>
      <w:keepNext/>
      <w:widowControl w:val="0"/>
      <w:spacing w:before="70" w:after="0" w:line="240" w:lineRule="auto"/>
      <w:ind w:left="0" w:firstLine="0"/>
      <w:jc w:val="left"/>
      <w:outlineLvl w:val="0"/>
    </w:pPr>
    <w:rPr>
      <w:rFonts w:ascii="Franklin Gothic Book" w:eastAsia="Times New Roman" w:hAnsi="Franklin Gothic Book"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C50"/>
  </w:style>
  <w:style w:type="paragraph" w:styleId="Footer">
    <w:name w:val="footer"/>
    <w:basedOn w:val="Normal"/>
    <w:link w:val="FooterChar"/>
    <w:uiPriority w:val="99"/>
    <w:unhideWhenUsed/>
    <w:rsid w:val="00F71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C50"/>
  </w:style>
  <w:style w:type="character" w:customStyle="1" w:styleId="Heading1Char">
    <w:name w:val="Heading 1 Char"/>
    <w:basedOn w:val="DefaultParagraphFont"/>
    <w:link w:val="Heading1"/>
    <w:rsid w:val="00F71C50"/>
    <w:rPr>
      <w:rFonts w:ascii="Franklin Gothic Book" w:eastAsia="Times New Roman" w:hAnsi="Franklin Gothic Book" w:cs="Times New Roman"/>
      <w:sz w:val="28"/>
      <w:szCs w:val="24"/>
    </w:rPr>
  </w:style>
  <w:style w:type="character" w:styleId="Hyperlink">
    <w:name w:val="Hyperlink"/>
    <w:basedOn w:val="DefaultParagraphFont"/>
    <w:semiHidden/>
    <w:rsid w:val="00F71C50"/>
    <w:rPr>
      <w:color w:val="0000FF"/>
      <w:u w:val="single"/>
    </w:rPr>
  </w:style>
  <w:style w:type="character" w:styleId="HTMLTypewriter">
    <w:name w:val="HTML Typewriter"/>
    <w:basedOn w:val="DefaultParagraphFont"/>
    <w:semiHidden/>
    <w:rsid w:val="00F71C50"/>
    <w:rPr>
      <w:rFonts w:ascii="Courier New" w:eastAsia="Courier New" w:hAnsi="Courier New" w:cs="Courier New"/>
      <w:sz w:val="20"/>
      <w:szCs w:val="20"/>
    </w:rPr>
  </w:style>
  <w:style w:type="paragraph" w:styleId="NoSpacing">
    <w:name w:val="No Spacing"/>
    <w:uiPriority w:val="1"/>
    <w:qFormat/>
    <w:rsid w:val="00F71C50"/>
    <w:pPr>
      <w:widowControl w:val="0"/>
      <w:ind w:left="0" w:firstLine="0"/>
      <w:jc w:val="left"/>
    </w:pPr>
    <w:rPr>
      <w:rFonts w:ascii="Arial" w:eastAsia="Times New Roman" w:hAnsi="Arial" w:cs="Times New Roman"/>
      <w:sz w:val="23"/>
      <w:szCs w:val="24"/>
    </w:rPr>
  </w:style>
  <w:style w:type="paragraph" w:styleId="ListParagraph">
    <w:name w:val="List Paragraph"/>
    <w:basedOn w:val="Normal"/>
    <w:uiPriority w:val="34"/>
    <w:qFormat/>
    <w:rsid w:val="001E0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mmigration-rules/immigration-rules-appendix-w-immigration-rules-for-workers" TargetMode="External"/><Relationship Id="rId13" Type="http://schemas.openxmlformats.org/officeDocument/2006/relationships/hyperlink" Target="https://www.gov.uk/guidance/immigration-rules/immigration-rules-appendix-w-immigration-rules-for-work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immigration-rules/immigration-rules-part-9-grounds-for-refus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amenglish.com/CEFR/cefr.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uidance/immigration-rules/immigration-rules-part-15-condition-to-hold-an-atas-clearance-certificat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uidance/immigration-rules/immigration-rules-part-10-registering-with-the-polic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http://www.ilpa.org.uk/infoservice.html" TargetMode="External"/><Relationship Id="rId2" Type="http://schemas.openxmlformats.org/officeDocument/2006/relationships/hyperlink" Target="http://www.ilpa.org.uk" TargetMode="External"/><Relationship Id="rId1" Type="http://schemas.openxmlformats.org/officeDocument/2006/relationships/image" Target="media/image1.wmf"/><Relationship Id="rId5" Type="http://schemas.openxmlformats.org/officeDocument/2006/relationships/hyperlink" Target="http://www.ilpa.org.uk" TargetMode="External"/><Relationship Id="rId4" Type="http://schemas.openxmlformats.org/officeDocument/2006/relationships/hyperlink" Target="mailto:paul.erdunast@il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B0423-BAB8-41A8-8045-16D0641E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Erdunast</dc:creator>
  <cp:keywords/>
  <dc:description/>
  <cp:lastModifiedBy>Paul Erdunast</cp:lastModifiedBy>
  <cp:revision>20</cp:revision>
  <dcterms:created xsi:type="dcterms:W3CDTF">2019-03-21T16:15:00Z</dcterms:created>
  <dcterms:modified xsi:type="dcterms:W3CDTF">2019-04-16T16:51:00Z</dcterms:modified>
</cp:coreProperties>
</file>